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长治经济技术开发区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 w:val="0"/>
          <w:bCs/>
        </w:rPr>
        <w:t>年政府预算公开相关说明</w:t>
      </w:r>
    </w:p>
    <w:p>
      <w:pPr>
        <w:ind w:firstLine="640"/>
        <w:rPr>
          <w:rFonts w:ascii="仿宋" w:hAnsi="仿宋" w:eastAsia="仿宋"/>
          <w:sz w:val="32"/>
          <w:szCs w:val="32"/>
          <w:lang w:val="zh-CN"/>
        </w:rPr>
      </w:pPr>
      <w:r>
        <w:rPr>
          <w:rFonts w:ascii="仿宋" w:hAnsi="仿宋" w:eastAsia="仿宋"/>
          <w:sz w:val="32"/>
          <w:szCs w:val="32"/>
          <w:lang w:val="zh-CN"/>
        </w:rPr>
        <w:t xml:space="preserve"> 根据《财政部关于印发&lt;地方预决算公开操作规程&gt;的通知》（财预〔201</w:t>
      </w:r>
      <w:r>
        <w:rPr>
          <w:rFonts w:hint="eastAsia" w:ascii="仿宋" w:hAnsi="仿宋" w:eastAsia="仿宋"/>
          <w:sz w:val="32"/>
          <w:szCs w:val="32"/>
          <w:lang w:val="zh-CN"/>
        </w:rPr>
        <w:t>6</w:t>
      </w:r>
      <w:r>
        <w:rPr>
          <w:rFonts w:ascii="仿宋" w:hAnsi="仿宋" w:eastAsia="仿宋"/>
          <w:sz w:val="32"/>
          <w:szCs w:val="32"/>
          <w:lang w:val="zh-CN"/>
        </w:rPr>
        <w:t>〕143号）文件精神，为方便社会公众对我</w:t>
      </w:r>
      <w:r>
        <w:rPr>
          <w:rFonts w:hint="eastAsia" w:ascii="仿宋" w:hAnsi="仿宋" w:eastAsia="仿宋"/>
          <w:sz w:val="32"/>
          <w:szCs w:val="32"/>
          <w:lang w:val="zh-CN" w:eastAsia="zh-CN"/>
        </w:rPr>
        <w:t>区</w:t>
      </w:r>
      <w:r>
        <w:rPr>
          <w:rFonts w:ascii="仿宋" w:hAnsi="仿宋" w:eastAsia="仿宋"/>
          <w:sz w:val="32"/>
          <w:szCs w:val="32"/>
          <w:lang w:val="zh-CN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ascii="仿宋" w:hAnsi="仿宋" w:eastAsia="仿宋"/>
          <w:sz w:val="32"/>
          <w:szCs w:val="32"/>
          <w:lang w:val="zh-CN"/>
        </w:rPr>
        <w:t>年政府预算的理解和监督，现将有关重要事项说明如下：</w:t>
      </w:r>
    </w:p>
    <w:p>
      <w:pPr>
        <w:numPr>
          <w:ilvl w:val="0"/>
          <w:numId w:val="1"/>
        </w:numPr>
        <w:ind w:left="210" w:leftChars="0" w:firstLine="420" w:firstLineChars="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财政转移支付安排情况说明</w:t>
      </w:r>
    </w:p>
    <w:p>
      <w:pPr>
        <w:ind w:firstLine="64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zh-CN"/>
        </w:rPr>
        <w:t>现行财政转移支付分为一般性转移支付和专项转移支付。一般性转移支付和专项转移支付各有特点。前者可以按照相关规定统筹安排和使用，后者能够体现上级政府政策导向，便于监督检查。</w:t>
      </w:r>
    </w:p>
    <w:p>
      <w:pPr>
        <w:ind w:firstLine="640" w:firstLineChars="200"/>
        <w:rPr>
          <w:rFonts w:hint="eastAsia" w:eastAsia="黑体"/>
          <w:sz w:val="32"/>
          <w:szCs w:val="32"/>
        </w:rPr>
      </w:pPr>
      <w:r>
        <w:rPr>
          <w:rFonts w:ascii="仿宋" w:hAnsi="仿宋" w:eastAsia="仿宋"/>
          <w:sz w:val="32"/>
          <w:szCs w:val="32"/>
          <w:lang w:val="zh-CN"/>
        </w:rPr>
        <w:t>一般性转移支付主要</w:t>
      </w:r>
      <w:r>
        <w:rPr>
          <w:rFonts w:hint="eastAsia" w:ascii="仿宋" w:hAnsi="仿宋" w:eastAsia="仿宋"/>
          <w:sz w:val="32"/>
          <w:szCs w:val="32"/>
          <w:lang w:val="zh-CN"/>
        </w:rPr>
        <w:t>为</w:t>
      </w:r>
      <w:r>
        <w:rPr>
          <w:rFonts w:ascii="仿宋" w:hAnsi="仿宋" w:eastAsia="仿宋"/>
          <w:sz w:val="32"/>
          <w:szCs w:val="32"/>
          <w:lang w:val="zh-CN"/>
        </w:rPr>
        <w:t>固定数额补助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  <w:r>
        <w:rPr>
          <w:rFonts w:ascii="仿宋" w:hAnsi="仿宋" w:eastAsia="仿宋"/>
          <w:sz w:val="32"/>
          <w:szCs w:val="32"/>
          <w:lang w:val="zh-CN"/>
        </w:rPr>
        <w:t>专项转移支付主要是根据党中央、国务院和省委、省政府确定的政策，按照集中资金、突出重点、专款专用的要求，重点用于农林水、教育、医疗卫生、社会保障和就业、交通运输、节能环保等领域</w:t>
      </w:r>
      <w:r>
        <w:rPr>
          <w:rFonts w:hint="eastAsia" w:ascii="仿宋" w:hAnsi="仿宋" w:eastAsia="仿宋"/>
          <w:sz w:val="32"/>
          <w:szCs w:val="32"/>
          <w:lang w:val="zh-CN"/>
        </w:rPr>
        <w:t>。</w:t>
      </w:r>
    </w:p>
    <w:p>
      <w:pPr>
        <w:tabs>
          <w:tab w:val="left" w:pos="540"/>
        </w:tabs>
        <w:ind w:right="178" w:rightChars="85"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2021年上级对我区下达转移支付资金共计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-15060</w:t>
      </w:r>
      <w:r>
        <w:rPr>
          <w:rFonts w:hint="eastAsia" w:ascii="仿宋" w:hAnsi="仿宋" w:eastAsia="仿宋"/>
          <w:sz w:val="32"/>
          <w:szCs w:val="32"/>
        </w:rPr>
        <w:t>万元，其中：一般性转移支付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-15060</w:t>
      </w:r>
      <w:r>
        <w:rPr>
          <w:rFonts w:hint="eastAsia" w:ascii="仿宋" w:hAnsi="仿宋" w:eastAsia="仿宋"/>
          <w:sz w:val="32"/>
          <w:szCs w:val="32"/>
        </w:rPr>
        <w:t>万元，专项转移支付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numPr>
          <w:ilvl w:val="0"/>
          <w:numId w:val="1"/>
        </w:numPr>
        <w:ind w:left="210" w:leftChars="0" w:firstLine="420" w:firstLineChars="0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一般公共预算“三公”经费安排情况说明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经开区</w:t>
      </w:r>
      <w:r>
        <w:rPr>
          <w:rFonts w:hint="eastAsia" w:ascii="仿宋" w:hAnsi="仿宋" w:eastAsia="仿宋"/>
          <w:sz w:val="32"/>
          <w:szCs w:val="32"/>
        </w:rPr>
        <w:t>“三公”经费预算数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</w:rPr>
        <w:t>万元。其中公务接待费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（用于机关接待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1万元，招商引资接待20万元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；公务用车运行维护费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万元</w:t>
      </w:r>
      <w:r>
        <w:rPr>
          <w:rFonts w:hint="eastAsia" w:ascii="仿宋" w:hAnsi="仿宋" w:eastAsia="仿宋"/>
          <w:sz w:val="32"/>
          <w:szCs w:val="32"/>
          <w:lang w:eastAsia="zh-CN"/>
        </w:rPr>
        <w:t>（公车共有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2辆，1辆车每年预算运行费2万元</w:t>
      </w:r>
      <w:r>
        <w:rPr>
          <w:rFonts w:hint="eastAsia" w:ascii="仿宋" w:hAnsi="仿宋" w:eastAsia="仿宋"/>
          <w:sz w:val="32"/>
          <w:szCs w:val="32"/>
          <w:lang w:eastAsia="zh-CN"/>
        </w:rPr>
        <w:t>）。</w:t>
      </w:r>
    </w:p>
    <w:p>
      <w:pPr>
        <w:numPr>
          <w:ilvl w:val="0"/>
          <w:numId w:val="1"/>
        </w:numPr>
        <w:ind w:left="210" w:leftChars="0" w:firstLine="420" w:firstLineChars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举借债务情况说明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</w:rPr>
        <w:t>我</w:t>
      </w:r>
      <w:r>
        <w:rPr>
          <w:rFonts w:hint="eastAsia" w:ascii="仿宋" w:hAnsi="仿宋" w:eastAsia="仿宋"/>
          <w:sz w:val="32"/>
        </w:rPr>
        <w:t>区</w:t>
      </w:r>
      <w:r>
        <w:rPr>
          <w:rFonts w:ascii="仿宋" w:hAnsi="仿宋" w:eastAsia="仿宋"/>
          <w:sz w:val="32"/>
          <w:szCs w:val="32"/>
        </w:rPr>
        <w:t>按照</w:t>
      </w:r>
      <w:r>
        <w:rPr>
          <w:rFonts w:hint="eastAsia" w:ascii="仿宋" w:hAnsi="仿宋" w:eastAsia="仿宋"/>
          <w:sz w:val="32"/>
          <w:szCs w:val="32"/>
        </w:rPr>
        <w:t>上级部门</w:t>
      </w:r>
      <w:r>
        <w:rPr>
          <w:rFonts w:ascii="仿宋" w:hAnsi="仿宋" w:eastAsia="仿宋"/>
          <w:sz w:val="32"/>
          <w:szCs w:val="32"/>
        </w:rPr>
        <w:t>打好防范化解重大风险攻坚战的安排部署，切实采取有效措施，坚决防范和化解政府债务风险</w:t>
      </w:r>
      <w:r>
        <w:rPr>
          <w:rFonts w:hint="eastAsia" w:ascii="仿宋" w:hAnsi="仿宋" w:eastAsia="仿宋"/>
          <w:sz w:val="32"/>
          <w:szCs w:val="32"/>
        </w:rPr>
        <w:t>，确保实现“</w:t>
      </w:r>
      <w:r>
        <w:rPr>
          <w:rFonts w:ascii="仿宋" w:hAnsi="仿宋" w:eastAsia="仿宋"/>
          <w:sz w:val="32"/>
          <w:szCs w:val="32"/>
        </w:rPr>
        <w:t>不发生区域性系统性风险</w:t>
      </w:r>
      <w:r>
        <w:rPr>
          <w:rFonts w:hint="eastAsia" w:ascii="仿宋" w:hAnsi="仿宋" w:eastAsia="仿宋"/>
          <w:sz w:val="32"/>
          <w:szCs w:val="32"/>
        </w:rPr>
        <w:t>”的目标，</w:t>
      </w:r>
      <w:r>
        <w:rPr>
          <w:rFonts w:hint="eastAsia" w:ascii="仿宋" w:hAnsi="仿宋" w:eastAsia="仿宋" w:cs="仿宋_GB2312"/>
          <w:sz w:val="32"/>
          <w:szCs w:val="32"/>
        </w:rPr>
        <w:t>进一步</w:t>
      </w:r>
      <w:r>
        <w:rPr>
          <w:rFonts w:hint="eastAsia" w:ascii="仿宋" w:hAnsi="仿宋" w:eastAsia="仿宋"/>
          <w:sz w:val="32"/>
        </w:rPr>
        <w:t>加强政府债务风险防控，做到举债合规、程序透明、规模适度、风险可控。现就我区2021年</w:t>
      </w:r>
      <w:r>
        <w:rPr>
          <w:rFonts w:ascii="仿宋" w:hAnsi="仿宋" w:eastAsia="仿宋"/>
          <w:sz w:val="32"/>
          <w:szCs w:val="32"/>
        </w:rPr>
        <w:t>举借债务情况</w:t>
      </w:r>
      <w:r>
        <w:rPr>
          <w:rFonts w:hint="eastAsia" w:ascii="仿宋" w:hAnsi="仿宋" w:eastAsia="仿宋"/>
          <w:sz w:val="32"/>
          <w:szCs w:val="32"/>
        </w:rPr>
        <w:t>说明如下：</w:t>
      </w:r>
    </w:p>
    <w:p>
      <w:pPr>
        <w:numPr>
          <w:ilvl w:val="0"/>
          <w:numId w:val="0"/>
        </w:num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  <w:lang w:val="zh-CN"/>
        </w:rPr>
        <w:t>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>加强政府债务管理采取的主要措施包括：</w:t>
      </w:r>
    </w:p>
    <w:p>
      <w:pPr>
        <w:ind w:firstLine="64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（一）</w:t>
      </w:r>
      <w:r>
        <w:rPr>
          <w:rFonts w:ascii="Times New Roman" w:hAnsi="Times New Roman" w:eastAsia="仿宋_GB2312" w:cs="Times New Roman"/>
          <w:sz w:val="30"/>
          <w:szCs w:val="30"/>
        </w:rPr>
        <w:t>为加强和规范政府性债务管理，防范政府债务风险，促进全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经济社会持续健康发展，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根据</w:t>
      </w:r>
      <w:r>
        <w:rPr>
          <w:rFonts w:ascii="Times New Roman" w:hAnsi="Times New Roman" w:eastAsia="仿宋_GB2312" w:cs="Times New Roman"/>
          <w:sz w:val="30"/>
          <w:szCs w:val="30"/>
        </w:rPr>
        <w:t>《长治市人民政府关于加强地方政府性债务管理的实施意见》（长政发〔2017〕9号）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文件精神</w:t>
      </w:r>
      <w:r>
        <w:rPr>
          <w:rFonts w:ascii="Times New Roman" w:hAnsi="Times New Roman" w:eastAsia="仿宋_GB2312" w:cs="Times New Roman"/>
          <w:sz w:val="30"/>
          <w:szCs w:val="30"/>
        </w:rPr>
        <w:t>，并结合我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实际，从规范政府举债融资机制、债务资金举借、债务资金使用、债务资金偿还、存量债务化解、债务信息统计报告、债务风险预警和应急处置、监督与管理、责任追究等九个方面，对我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区</w:t>
      </w:r>
      <w:r>
        <w:rPr>
          <w:rFonts w:ascii="Times New Roman" w:hAnsi="Times New Roman" w:eastAsia="仿宋_GB2312" w:cs="Times New Roman"/>
          <w:sz w:val="30"/>
          <w:szCs w:val="30"/>
        </w:rPr>
        <w:t>地方政府性债务管理进行了规范。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（二）为确保不发生区域性系统性风险，根据《山西省政府性债务风险应急处置预案》（晋政办发〔2017〕99号）有关要求，长政办发〔2017〕176号）</w:t>
      </w:r>
      <w:r>
        <w:rPr>
          <w:rFonts w:hint="eastAsia" w:ascii="仿宋" w:hAnsi="仿宋" w:eastAsia="仿宋"/>
          <w:sz w:val="32"/>
          <w:lang w:eastAsia="zh-CN"/>
        </w:rPr>
        <w:t>文件精神</w:t>
      </w:r>
      <w:r>
        <w:rPr>
          <w:rFonts w:ascii="仿宋" w:hAnsi="仿宋" w:eastAsia="仿宋"/>
          <w:sz w:val="32"/>
        </w:rPr>
        <w:t>，初步构建</w:t>
      </w:r>
      <w:r>
        <w:rPr>
          <w:rFonts w:hint="eastAsia" w:ascii="仿宋" w:hAnsi="仿宋" w:eastAsia="仿宋"/>
          <w:sz w:val="32"/>
          <w:lang w:eastAsia="zh-CN"/>
        </w:rPr>
        <w:t>和完善</w:t>
      </w:r>
      <w:r>
        <w:rPr>
          <w:rFonts w:ascii="仿宋" w:hAnsi="仿宋" w:eastAsia="仿宋"/>
          <w:sz w:val="32"/>
        </w:rPr>
        <w:t>政府性债务风险防控和应急处置机制。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（</w:t>
      </w:r>
      <w:r>
        <w:rPr>
          <w:rFonts w:hint="eastAsia" w:ascii="仿宋" w:hAnsi="仿宋" w:eastAsia="仿宋"/>
          <w:sz w:val="32"/>
          <w:lang w:eastAsia="zh-CN"/>
        </w:rPr>
        <w:t>三</w:t>
      </w:r>
      <w:r>
        <w:rPr>
          <w:rFonts w:ascii="仿宋" w:hAnsi="仿宋" w:eastAsia="仿宋"/>
          <w:sz w:val="32"/>
        </w:rPr>
        <w:t>）制定中长期政府债务化解方案。针对政府债务风险评估结果和出现的风险状况，我</w:t>
      </w:r>
      <w:r>
        <w:rPr>
          <w:rFonts w:hint="eastAsia" w:ascii="仿宋" w:hAnsi="仿宋" w:eastAsia="仿宋"/>
          <w:sz w:val="32"/>
          <w:lang w:val="en-US" w:eastAsia="zh-CN"/>
        </w:rPr>
        <w:t>区</w:t>
      </w:r>
      <w:r>
        <w:rPr>
          <w:rFonts w:ascii="仿宋" w:hAnsi="仿宋" w:eastAsia="仿宋"/>
          <w:sz w:val="32"/>
        </w:rPr>
        <w:t>制定了相应的政府债务化解方案，提出了明确的化解目标和化解措施。</w:t>
      </w:r>
    </w:p>
    <w:p>
      <w:pPr>
        <w:numPr>
          <w:ilvl w:val="0"/>
          <w:numId w:val="1"/>
        </w:numPr>
        <w:ind w:left="210" w:leftChars="0" w:firstLine="420" w:firstLineChars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预算绩效开展情况说明</w:t>
      </w:r>
    </w:p>
    <w:p>
      <w:pPr>
        <w:spacing w:line="600" w:lineRule="exact"/>
        <w:rPr>
          <w:rFonts w:ascii="仿宋" w:hAnsi="仿宋" w:eastAsia="仿宋"/>
          <w:sz w:val="32"/>
        </w:rPr>
      </w:pPr>
      <w:r>
        <w:rPr>
          <w:rFonts w:hint="eastAsia" w:ascii="仿宋_GB2312" w:hAnsi="仿宋" w:eastAsia="仿宋_GB2312"/>
          <w:bCs/>
          <w:sz w:val="30"/>
          <w:szCs w:val="30"/>
        </w:rPr>
        <w:t xml:space="preserve">    </w:t>
      </w:r>
      <w:r>
        <w:rPr>
          <w:rFonts w:hint="eastAsia" w:ascii="仿宋" w:hAnsi="仿宋" w:eastAsia="仿宋"/>
          <w:sz w:val="32"/>
        </w:rPr>
        <w:t>我</w:t>
      </w:r>
      <w:r>
        <w:rPr>
          <w:rFonts w:hint="eastAsia" w:ascii="仿宋" w:hAnsi="仿宋" w:eastAsia="仿宋"/>
          <w:sz w:val="32"/>
          <w:lang w:val="en-US" w:eastAsia="zh-CN"/>
        </w:rPr>
        <w:t>区</w:t>
      </w:r>
      <w:r>
        <w:rPr>
          <w:rFonts w:hint="eastAsia" w:ascii="仿宋" w:hAnsi="仿宋" w:eastAsia="仿宋"/>
          <w:sz w:val="32"/>
        </w:rPr>
        <w:t>预算绩效管理工作积极贯彻党的十九大关于“</w:t>
      </w:r>
      <w:r>
        <w:rPr>
          <w:rFonts w:ascii="仿宋" w:hAnsi="仿宋" w:eastAsia="仿宋"/>
          <w:sz w:val="32"/>
        </w:rPr>
        <w:t>建立全面规范透明、标准科学、约束有力的预算制度，全面实施绩效管理</w:t>
      </w:r>
      <w:r>
        <w:rPr>
          <w:rFonts w:hint="eastAsia" w:ascii="仿宋" w:hAnsi="仿宋" w:eastAsia="仿宋"/>
          <w:sz w:val="32"/>
        </w:rPr>
        <w:t>”的精神</w:t>
      </w:r>
      <w:r>
        <w:rPr>
          <w:rFonts w:ascii="仿宋" w:hAnsi="仿宋" w:eastAsia="仿宋"/>
          <w:sz w:val="32"/>
        </w:rPr>
        <w:t>,</w:t>
      </w:r>
      <w:r>
        <w:rPr>
          <w:rFonts w:hint="eastAsia" w:ascii="仿宋" w:hAnsi="仿宋" w:eastAsia="仿宋"/>
          <w:sz w:val="32"/>
        </w:rPr>
        <w:t>按照省市经济财政工作会议要求，稳步推进我</w:t>
      </w:r>
      <w:r>
        <w:rPr>
          <w:rFonts w:hint="eastAsia" w:ascii="仿宋" w:hAnsi="仿宋" w:eastAsia="仿宋"/>
          <w:sz w:val="32"/>
          <w:lang w:val="en-US" w:eastAsia="zh-CN"/>
        </w:rPr>
        <w:t>区</w:t>
      </w:r>
      <w:r>
        <w:rPr>
          <w:rFonts w:hint="eastAsia" w:ascii="仿宋" w:hAnsi="仿宋" w:eastAsia="仿宋"/>
          <w:sz w:val="32"/>
        </w:rPr>
        <w:t>预算绩效管理各项工作，强化结果导向，突出绩效责任约束，着力提高财政资金使用效益，</w:t>
      </w:r>
      <w:r>
        <w:rPr>
          <w:rFonts w:ascii="仿宋" w:hAnsi="仿宋" w:eastAsia="仿宋"/>
          <w:sz w:val="32"/>
        </w:rPr>
        <w:t>主要采取了以下措施：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（一）全面实施预算项目绩效目标管理</w:t>
      </w:r>
      <w:r>
        <w:rPr>
          <w:rFonts w:ascii="仿宋_GB2312" w:hAnsi="华文中宋" w:eastAsia="仿宋_GB2312"/>
          <w:b/>
          <w:bCs/>
          <w:sz w:val="30"/>
          <w:szCs w:val="30"/>
        </w:rPr>
        <w:t>,</w:t>
      </w:r>
      <w:r>
        <w:rPr>
          <w:rFonts w:hint="eastAsia" w:ascii="仿宋_GB2312" w:hAnsi="华文中宋" w:eastAsia="仿宋_GB2312"/>
          <w:b/>
          <w:bCs/>
          <w:sz w:val="30"/>
          <w:szCs w:val="30"/>
        </w:rPr>
        <w:t>压实主体责任</w:t>
      </w:r>
    </w:p>
    <w:p>
      <w:pPr>
        <w:pStyle w:val="6"/>
        <w:spacing w:line="600" w:lineRule="exact"/>
        <w:ind w:firstLine="64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强化绩效目标的“指挥棒”作用，将绩效目标设置作为预算安排的前置条件。一是实现了绩效目标管理全覆盖，根据“谁申请资金，谁编制目标”的原则，按照市财政局统一要求，在编制年度部门预算时，预算单位按照《预算法》和预算绩效管理相关要求对所有项目支出编制绩效目标，实现了绩效目标管理全覆盖。二是压实预算绩效管理主体责任，压实各部门各单位履行预算绩效管理主体责任，加大绩效目标审核力度，提升绩效目标填报质量，使绩效目标真正成为预算安排的前提和主要依据，坚持做到“预算编制有目标”,没有绩效目标（或不合格）不编列预算。财政部门和预算部门通过绩效目标“五审机制”，层层把关、审核，使绩效目标描述清晰、依据充分，使财政预算安排的项目更加科学合理。</w:t>
      </w:r>
    </w:p>
    <w:p>
      <w:pPr>
        <w:spacing w:line="600" w:lineRule="exact"/>
        <w:rPr>
          <w:rFonts w:ascii="仿宋_GB2312" w:hAnsi="华文中宋" w:eastAsia="仿宋_GB2312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（二）强化绩效跟踪监控，促进绩效目标实现</w:t>
      </w:r>
    </w:p>
    <w:p>
      <w:pPr>
        <w:spacing w:line="600" w:lineRule="exact"/>
        <w:ind w:firstLine="640" w:firstLineChars="2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财政局严格落实《长治市关于加强预算绩效运行监控的实施方案》文件要求，继续本着“突出重点、及时适当、有效纠偏”的原则，有序开展绩效运行监控工作。在普遍跟踪的基础上选择部分项目进行重点跟踪监控，通过对项目的运行监控、督促整改，相关绩效目标得以较好实施，并在财政拨付项目资金时，根据整改结果调整预算，用绩效管理手段实现了财政资金的有效监控。</w:t>
      </w:r>
    </w:p>
    <w:p>
      <w:pPr>
        <w:spacing w:line="600" w:lineRule="exact"/>
        <w:rPr>
          <w:rFonts w:ascii="楷体" w:hAnsi="楷体" w:eastAsia="楷体" w:cs="楷体"/>
          <w:b/>
          <w:bCs/>
          <w:sz w:val="30"/>
          <w:szCs w:val="30"/>
        </w:rPr>
      </w:pPr>
      <w:r>
        <w:rPr>
          <w:rFonts w:hint="eastAsia" w:ascii="仿宋_GB2312" w:hAnsi="华文中宋" w:eastAsia="仿宋_GB2312"/>
          <w:b/>
          <w:bCs/>
          <w:sz w:val="30"/>
          <w:szCs w:val="30"/>
        </w:rPr>
        <w:t xml:space="preserve">   （三）加大绩效评价力度，推动预算绩效管理扩围升级，注重评价结果应用</w:t>
      </w:r>
    </w:p>
    <w:p>
      <w:pPr>
        <w:pStyle w:val="4"/>
        <w:adjustRightInd w:val="0"/>
        <w:spacing w:line="600" w:lineRule="exact"/>
        <w:ind w:firstLine="640" w:firstLineChars="2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绩效评价是预算绩效管理的重要手段。将评价结果向被评价单位和财政部门预算管理科室进行反馈，被评价单位结合评价意见、建议认真整改，财政局部门预算管理科室将评价结果作为预算编制的重要依据，根据评价结果调整预算安排。区财政局及时召开评价结果反馈会，把评价结果反馈给项目单位，督促其认真整改，并积极与2021年度部门预算编制工作有机衔接，使评价结果得到有效利用。</w:t>
      </w:r>
    </w:p>
    <w:p>
      <w:pPr>
        <w:numPr>
          <w:ilvl w:val="0"/>
          <w:numId w:val="1"/>
        </w:numPr>
        <w:spacing w:line="600" w:lineRule="exact"/>
        <w:ind w:left="210" w:leftChars="0" w:firstLine="420" w:firstLineChars="0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地方政府债券情况说明</w:t>
      </w:r>
    </w:p>
    <w:p>
      <w:pPr>
        <w:ind w:firstLine="64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2021年预算没有地方政府债券资金。</w:t>
      </w:r>
    </w:p>
    <w:p>
      <w:pPr>
        <w:numPr>
          <w:ilvl w:val="0"/>
          <w:numId w:val="1"/>
        </w:numPr>
        <w:ind w:left="210" w:leftChars="0" w:firstLine="420" w:firstLineChars="0"/>
        <w:rPr>
          <w:rFonts w:ascii="Times New Roman" w:hAnsi="Times New Roman" w:eastAsia="仿宋_GB2312" w:cs="Times New Roman"/>
          <w:sz w:val="30"/>
          <w:szCs w:val="30"/>
          <w:lang w:val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财政扶贫资金情况说明</w:t>
      </w:r>
      <w:r>
        <w:rPr>
          <w:rFonts w:ascii="Times New Roman" w:hAnsi="Times New Roman" w:eastAsia="仿宋_GB2312" w:cs="Times New Roman"/>
          <w:sz w:val="30"/>
          <w:szCs w:val="30"/>
          <w:lang w:val="zh-CN"/>
        </w:rPr>
        <w:t xml:space="preserve"> </w:t>
      </w:r>
    </w:p>
    <w:p>
      <w:pPr>
        <w:ind w:firstLine="64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2021年预算没有扶贫资金。</w:t>
      </w:r>
    </w:p>
    <w:p>
      <w:pPr>
        <w:ind w:firstLine="64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bookmarkStart w:id="0" w:name="_GoBack"/>
      <w:bookmarkEnd w:id="0"/>
    </w:p>
    <w:p>
      <w:pPr>
        <w:ind w:firstLine="4480" w:firstLineChars="140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>长治经济技术开发区财政局</w:t>
      </w:r>
    </w:p>
    <w:p>
      <w:pPr>
        <w:ind w:firstLine="640"/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32"/>
          <w:szCs w:val="24"/>
          <w:lang w:val="en-US" w:eastAsia="zh-CN" w:bidi="ar-SA"/>
        </w:rPr>
        <w:t xml:space="preserve">                             2021年4月17日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9161007"/>
      <w:docPartObj>
        <w:docPartGallery w:val="autotext"/>
      </w:docPartObj>
    </w:sdtPr>
    <w:sdtContent>
      <w:p>
        <w:pPr>
          <w:pStyle w:val="8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DF1D6D"/>
    <w:multiLevelType w:val="singleLevel"/>
    <w:tmpl w:val="58DF1D6D"/>
    <w:lvl w:ilvl="0" w:tentative="0">
      <w:start w:val="1"/>
      <w:numFmt w:val="chineseCounting"/>
      <w:suff w:val="nothing"/>
      <w:lvlText w:val="%1、"/>
      <w:lvlJc w:val="left"/>
      <w:pPr>
        <w:ind w:left="21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OGMxNDZkYTNkN2JhNmI5ZTI5NGU1YzA0N2U0NjIifQ=="/>
  </w:docVars>
  <w:rsids>
    <w:rsidRoot w:val="56DC3F96"/>
    <w:rsid w:val="000D17EA"/>
    <w:rsid w:val="00111450"/>
    <w:rsid w:val="00117E3D"/>
    <w:rsid w:val="001A667C"/>
    <w:rsid w:val="001C3AF7"/>
    <w:rsid w:val="002C5F73"/>
    <w:rsid w:val="0031158F"/>
    <w:rsid w:val="0031529C"/>
    <w:rsid w:val="003522A2"/>
    <w:rsid w:val="00463D24"/>
    <w:rsid w:val="00494F94"/>
    <w:rsid w:val="004F3FF1"/>
    <w:rsid w:val="006F4B74"/>
    <w:rsid w:val="00797FF9"/>
    <w:rsid w:val="008831E8"/>
    <w:rsid w:val="00971805"/>
    <w:rsid w:val="0097585F"/>
    <w:rsid w:val="00BA4335"/>
    <w:rsid w:val="00BE7907"/>
    <w:rsid w:val="00D651BD"/>
    <w:rsid w:val="00DA30BC"/>
    <w:rsid w:val="00E3331B"/>
    <w:rsid w:val="00EA4D70"/>
    <w:rsid w:val="00F64DC3"/>
    <w:rsid w:val="00F74C95"/>
    <w:rsid w:val="00FC50C6"/>
    <w:rsid w:val="00FF6A19"/>
    <w:rsid w:val="04925253"/>
    <w:rsid w:val="063D4F7E"/>
    <w:rsid w:val="08074BF6"/>
    <w:rsid w:val="090E293E"/>
    <w:rsid w:val="09CD1D9A"/>
    <w:rsid w:val="0B8564F6"/>
    <w:rsid w:val="0B8C5C0F"/>
    <w:rsid w:val="0D5E589A"/>
    <w:rsid w:val="10BE10ED"/>
    <w:rsid w:val="11A36E95"/>
    <w:rsid w:val="128F4C45"/>
    <w:rsid w:val="12CC1E0B"/>
    <w:rsid w:val="12DE7825"/>
    <w:rsid w:val="14293155"/>
    <w:rsid w:val="142B534F"/>
    <w:rsid w:val="1525517F"/>
    <w:rsid w:val="17D93043"/>
    <w:rsid w:val="183D143A"/>
    <w:rsid w:val="188840A1"/>
    <w:rsid w:val="18EE5B5B"/>
    <w:rsid w:val="19F56315"/>
    <w:rsid w:val="1AE41750"/>
    <w:rsid w:val="1BD25A4D"/>
    <w:rsid w:val="1BE55780"/>
    <w:rsid w:val="1C4A115C"/>
    <w:rsid w:val="1F9B318C"/>
    <w:rsid w:val="201B5638"/>
    <w:rsid w:val="21076170"/>
    <w:rsid w:val="212D1687"/>
    <w:rsid w:val="21D43DDB"/>
    <w:rsid w:val="22B4034F"/>
    <w:rsid w:val="23807A8E"/>
    <w:rsid w:val="24697B84"/>
    <w:rsid w:val="267D20DA"/>
    <w:rsid w:val="270F3FDF"/>
    <w:rsid w:val="2B4E30C6"/>
    <w:rsid w:val="2B99651C"/>
    <w:rsid w:val="2C5941DA"/>
    <w:rsid w:val="2D907BB8"/>
    <w:rsid w:val="2E4D0866"/>
    <w:rsid w:val="2ECB3F4C"/>
    <w:rsid w:val="2EEA0ED1"/>
    <w:rsid w:val="2F6C243B"/>
    <w:rsid w:val="30264B34"/>
    <w:rsid w:val="30936173"/>
    <w:rsid w:val="31AD1A21"/>
    <w:rsid w:val="31AE3364"/>
    <w:rsid w:val="33E0669D"/>
    <w:rsid w:val="348D0EE6"/>
    <w:rsid w:val="36A11504"/>
    <w:rsid w:val="379836AD"/>
    <w:rsid w:val="3A9F6163"/>
    <w:rsid w:val="3ABC192D"/>
    <w:rsid w:val="3B98710E"/>
    <w:rsid w:val="3D5F1130"/>
    <w:rsid w:val="3DC87D6C"/>
    <w:rsid w:val="3F9D5B14"/>
    <w:rsid w:val="40240D30"/>
    <w:rsid w:val="4065019F"/>
    <w:rsid w:val="45086B53"/>
    <w:rsid w:val="4516350E"/>
    <w:rsid w:val="466057C1"/>
    <w:rsid w:val="486C456D"/>
    <w:rsid w:val="4B5551FE"/>
    <w:rsid w:val="4C5C4F93"/>
    <w:rsid w:val="4CB57D0F"/>
    <w:rsid w:val="4D570E5F"/>
    <w:rsid w:val="4DB91131"/>
    <w:rsid w:val="4E201790"/>
    <w:rsid w:val="4F880B95"/>
    <w:rsid w:val="510B718B"/>
    <w:rsid w:val="51C51127"/>
    <w:rsid w:val="557553AC"/>
    <w:rsid w:val="55913CA7"/>
    <w:rsid w:val="56DC3F96"/>
    <w:rsid w:val="58355079"/>
    <w:rsid w:val="59CE51DB"/>
    <w:rsid w:val="5E60452A"/>
    <w:rsid w:val="5F8959EF"/>
    <w:rsid w:val="60567FC7"/>
    <w:rsid w:val="63DC0640"/>
    <w:rsid w:val="64FF4F0C"/>
    <w:rsid w:val="65686B47"/>
    <w:rsid w:val="66522096"/>
    <w:rsid w:val="68D641AF"/>
    <w:rsid w:val="6919636A"/>
    <w:rsid w:val="6AD364FE"/>
    <w:rsid w:val="6B464815"/>
    <w:rsid w:val="6BC41CEB"/>
    <w:rsid w:val="6D5259E7"/>
    <w:rsid w:val="6F9401C4"/>
    <w:rsid w:val="72BB07F7"/>
    <w:rsid w:val="72D7223C"/>
    <w:rsid w:val="73E534F6"/>
    <w:rsid w:val="78452ACC"/>
    <w:rsid w:val="79BD788F"/>
    <w:rsid w:val="79C55083"/>
    <w:rsid w:val="7AB0675E"/>
    <w:rsid w:val="7AD068E0"/>
    <w:rsid w:val="7BA93249"/>
    <w:rsid w:val="7CDE72A4"/>
    <w:rsid w:val="7D863E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/>
    </w:rPr>
  </w:style>
  <w:style w:type="paragraph" w:styleId="5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6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5"/>
    <w:unhideWhenUsed/>
    <w:qFormat/>
    <w:uiPriority w:val="99"/>
    <w:pPr>
      <w:ind w:firstLine="420" w:firstLineChars="200"/>
    </w:p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闻政正文"/>
    <w:basedOn w:val="1"/>
    <w:qFormat/>
    <w:uiPriority w:val="0"/>
    <w:pPr>
      <w:spacing w:line="500" w:lineRule="exact"/>
      <w:ind w:firstLine="560" w:firstLineChars="200"/>
    </w:pPr>
    <w:rPr>
      <w:rFonts w:eastAsia="仿宋_GB2312"/>
      <w:kern w:val="0"/>
      <w:sz w:val="28"/>
      <w:szCs w:val="28"/>
    </w:rPr>
  </w:style>
  <w:style w:type="character" w:customStyle="1" w:styleId="16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1887</Words>
  <Characters>1950</Characters>
  <Lines>12</Lines>
  <Paragraphs>15</Paragraphs>
  <TotalTime>19</TotalTime>
  <ScaleCrop>false</ScaleCrop>
  <LinksUpToDate>false</LinksUpToDate>
  <CharactersWithSpaces>1994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2017-04-01T03:15:00Z</dcterms:created>
  <dc:creator>null,null,预算公开</dc:creator>
  <cp:lastModifiedBy>匿名</cp:lastModifiedBy>
  <cp:lastPrinted>2021-07-12T09:25:00Z</cp:lastPrinted>
  <dcterms:modified xsi:type="dcterms:W3CDTF">2022-09-14T06:36:09Z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7265126FA2A647F99DCDC022C67A4D0A</vt:lpwstr>
  </property>
</Properties>
</file>