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公积金对组合贷“带押过户”业务操作流程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（一）预审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收到组合贷商贷银行介绍函后，窗口人员提前预审买受人公积金贷款资格和拟交易房屋状态，核定借款人最终可受理贷款年限和贷款额度，向组合贷中对应银行出联系函。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（二）初审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窗口人员收到组合贷商贷银行联系函回执后，公积金中心、出卖人、买受人签订公积金对组合贷“带押过户”三方协议，窗口人员按正常二手房交易流程受理，同时在带押过户业务界面“是否公积金贷款”处选择“否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资料不同之处：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1、无变更后的不动产原件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2、无交易后的税票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（三）复审、终审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窗口人员出具正常抵押资料。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（四）放款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-结清-解押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发放贷款时系统会自动结清卖方公积金贷款本息，剩余款项根据商贷银行联系函回执指定账号发放，商贷银行在承诺时效内办理抵押权解押手续。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（五）交易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-抵押人变更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受委托银行、买卖双方去不动产等相关部门办理二手房交易过户手续，同时持抵押资料及原借款人不动产登记证明办理抵押人变更手续，办理完结后录入系统。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完善资料：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1.不动产登记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证明；2.新增值税票；3.交易后的不动产权证书；4.结清证明。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（六）办结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25C4396B"/>
    <w:rsid w:val="4BD6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2023-12-21T07:59:02Z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111CFC21F10D4FFFAEA0533210C1921C_12</vt:lpwstr>
  </property>
</Properties>
</file>