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sz w:val="44"/>
          <w:szCs w:val="44"/>
        </w:rPr>
        <w:t>2021年度普法责任清单</w:t>
      </w:r>
    </w:p>
    <w:bookmarkEnd w:id="0"/>
    <w:p>
      <w:pPr>
        <w:jc w:val="center"/>
        <w:rPr>
          <w:rFonts w:hint="eastAsia" w:ascii="仿宋_GB2312" w:eastAsia="仿宋_GB2312"/>
          <w:szCs w:val="21"/>
        </w:rPr>
      </w:pP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80"/>
        <w:gridCol w:w="1631"/>
        <w:gridCol w:w="3778"/>
        <w:gridCol w:w="232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普法责任主体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普法内容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责任科室</w:t>
            </w:r>
          </w:p>
        </w:tc>
        <w:tc>
          <w:tcPr>
            <w:tcW w:w="377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普法对象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普法形式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普法节点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长治市卫生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健康委员会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1、《中华人民共和国行政处罚法》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2、《中华人民共和国中医药法》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3、《中华人民共和国职业病防治法》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4、《中华人民共和国母婴保健法》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5、《中华人民共和国传染病防治法》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6、《中华人民共和国献血法》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7、《公共场所卫生管理条例》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8、《突发共卫生事件应急条例》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9、《医师执业注册管理办法》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10、《山西省保障和促进县域医疗卫生一体化办法》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11、《山西省政务服务管理办法》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1、监督药政科、政策法规科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2、中医药管理科、监督药政科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3、职业健康科、监督药政科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4、妇幼指导科、监督药政科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5、疾病预防科、监督药政科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6、医政医管科、监督药政科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7、监督药政科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8、卫生应急科、监督药政科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9、医政医管科、监督药政科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10、体改科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11、办公室</w:t>
            </w:r>
          </w:p>
        </w:tc>
        <w:tc>
          <w:tcPr>
            <w:tcW w:w="377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1、各级中医药行政管理部门、中医药行业从业机构及其人员、中医药监督执法人员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2、职业健康管理人员、企业主要负责人和职业卫生管理人员、劳动者、相关机构（包括职业健康检查、职业病诊断、职业卫生技术服务机构）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3、各县区卫体局分管领导、应急办主任；市、县疾控中心主要领导、分管领导、应急办主任；委直医疗机构分管领导、医务科主任、应急办主任；市级、县级卫生应急队伍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4、卫生监督工作人员：医疗卫生机构、用人单位（职业卫生）、职业（放射）卫生技术服务机构、涉水产品、消毒产品生产单位、各类公共场所、各类学校等相关人员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5、各级卫生行政部门、各相关医疗机构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6、社会大众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1、在义诊、现场咨询、监督检查、行政执法等工作过程中进行宣传；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2、通过举办专题讲座、现场培训等形式宣传；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3、通过举办知识竞赛、户外团体活动等方式进行宣传；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4、通过发放宣传资料、设置宣传栏等方式宣传；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5、通过卫健委官网、微信公众号宣传；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6、通过开展职业病防治宣传周活动、母婴保健法宣传周活动、中国医师节活动等方式宣传。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职业病防治法宣传周；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3月5日志愿者日；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5月8日红十字日；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6月14日世界献血者日；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母婴保健法宣传周。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464DB"/>
    <w:rsid w:val="3D3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2022-01-10T08:51:00Z</dcterms:created>
  <dc:creator>Administrator</dc:creator>
  <cp:lastModifiedBy>Administrator</cp:lastModifiedBy>
  <dcterms:modified xsi:type="dcterms:W3CDTF">2022-01-10T08:52:18Z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30D452C17944458BBEC519402B71816C</vt:lpwstr>
  </property>
</Properties>
</file>