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  <w:t>行政执法事项目录清单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填报单位（盖章）：长治市交通运输局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205"/>
        <w:gridCol w:w="1098"/>
        <w:gridCol w:w="4653"/>
        <w:gridCol w:w="1726"/>
        <w:gridCol w:w="1844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4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事项依据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责任主体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20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对客运经营者在发车时间安排上发生纠纷，客运站经营者协调无效的裁决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行政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裁决</w:t>
            </w:r>
          </w:p>
        </w:tc>
        <w:tc>
          <w:tcPr>
            <w:tcW w:w="4653" w:type="dxa"/>
            <w:vAlign w:val="center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《中华人民共和国道路运输条例》第四十一条：道路旅客运输站(场)经营者应当为客运经营者合理安排班次，公布其运输线路、起止经停站点、运输班次、始发时间、票价，调度车辆进站、发车，疏导旅客，维持上下车秩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《道路旅客运输及客运站管理规定》（交通运输部令202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年第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号）第七十四条：客运站经营者应当禁止无证经营的车辆进站从事经营活动，无正当理由不得拒绝合法客运车辆进站经营。客运站经营者应当坚持公平、公正原则，合理安排发车时间，公平售票。客运经营者在发车时间安排上发生纠纷，客运站经营者协调无效时，由当地交通运输主管部门裁定。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长治市交通运输局</w:t>
            </w:r>
          </w:p>
        </w:tc>
        <w:tc>
          <w:tcPr>
            <w:tcW w:w="1844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长治市交通运输综合行政执法队</w:t>
            </w:r>
          </w:p>
        </w:tc>
        <w:tc>
          <w:tcPr>
            <w:tcW w:w="902" w:type="dxa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B0466"/>
    <w:rsid w:val="58F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2024-07-29T09:32:00Z</dcterms:created>
  <dc:creator>FAGUIKE</dc:creator>
  <cp:lastModifiedBy>FAGUIKE</cp:lastModifiedBy>
  <dcterms:modified xsi:type="dcterms:W3CDTF">2024-07-29T09:47:57Z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