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240" w:lineRule="exact"/>
        <w:jc w:val="center"/>
        <w:rPr>
          <w:rFonts w:ascii="黑体" w:hAnsi="华文中宋" w:eastAsia="黑体"/>
          <w:sz w:val="32"/>
          <w:szCs w:val="32"/>
        </w:rPr>
      </w:pPr>
      <w:bookmarkStart w:id="0" w:name="_GoBack"/>
      <w:bookmarkEnd w:id="0"/>
    </w:p>
    <w:p>
      <w:pPr>
        <w:autoSpaceDE w:val="0"/>
        <w:spacing w:line="240" w:lineRule="exact"/>
        <w:jc w:val="center"/>
        <w:rPr>
          <w:rFonts w:ascii="黑体" w:hAnsi="华文中宋" w:eastAsia="黑体"/>
          <w:sz w:val="32"/>
          <w:szCs w:val="32"/>
        </w:rPr>
      </w:pPr>
    </w:p>
    <w:p>
      <w:pPr>
        <w:autoSpaceDE w:val="0"/>
        <w:spacing w:line="240" w:lineRule="exact"/>
        <w:jc w:val="center"/>
        <w:rPr>
          <w:rFonts w:ascii="黑体" w:hAnsi="华文中宋" w:eastAsia="黑体"/>
          <w:sz w:val="32"/>
          <w:szCs w:val="32"/>
        </w:rPr>
      </w:pPr>
    </w:p>
    <w:p>
      <w:pPr>
        <w:autoSpaceDE w:val="0"/>
        <w:spacing w:line="240" w:lineRule="exact"/>
        <w:jc w:val="center"/>
        <w:outlineLvl w:val="0"/>
        <w:rPr>
          <w:rFonts w:ascii="黑体" w:hAnsi="宋体" w:eastAsia="黑体"/>
          <w:sz w:val="36"/>
          <w:szCs w:val="36"/>
        </w:rPr>
      </w:pPr>
    </w:p>
    <w:p>
      <w:pPr>
        <w:autoSpaceDE w:val="0"/>
        <w:spacing w:line="240" w:lineRule="exact"/>
        <w:jc w:val="center"/>
        <w:outlineLvl w:val="0"/>
        <w:rPr>
          <w:rFonts w:ascii="黑体" w:hAnsi="宋体" w:eastAsia="黑体"/>
          <w:sz w:val="36"/>
          <w:szCs w:val="36"/>
        </w:rPr>
      </w:pPr>
    </w:p>
    <w:p>
      <w:pPr>
        <w:autoSpaceDE w:val="0"/>
        <w:spacing w:line="240" w:lineRule="exact"/>
        <w:jc w:val="center"/>
        <w:outlineLvl w:val="0"/>
        <w:rPr>
          <w:rFonts w:ascii="黑体" w:hAnsi="宋体" w:eastAsia="黑体"/>
          <w:sz w:val="36"/>
          <w:szCs w:val="36"/>
        </w:rPr>
      </w:pPr>
    </w:p>
    <w:p>
      <w:pPr>
        <w:autoSpaceDE w:val="0"/>
        <w:spacing w:line="240" w:lineRule="exact"/>
        <w:jc w:val="center"/>
        <w:outlineLvl w:val="0"/>
        <w:rPr>
          <w:rFonts w:ascii="黑体" w:hAnsi="宋体" w:eastAsia="黑体"/>
          <w:sz w:val="36"/>
          <w:szCs w:val="36"/>
        </w:rPr>
      </w:pPr>
    </w:p>
    <w:p>
      <w:pPr>
        <w:autoSpaceDE w:val="0"/>
        <w:spacing w:line="600" w:lineRule="exact"/>
        <w:jc w:val="center"/>
        <w:outlineLvl w:val="0"/>
        <w:rPr>
          <w:rFonts w:ascii="黑体" w:hAnsi="宋体" w:eastAsia="黑体"/>
          <w:sz w:val="36"/>
          <w:szCs w:val="36"/>
        </w:rPr>
      </w:pPr>
      <w:r>
        <w:rPr>
          <w:rFonts w:hint="eastAsia" w:ascii="黑体" w:hAnsi="黑体" w:eastAsia="黑体"/>
          <w:sz w:val="36"/>
          <w:szCs w:val="36"/>
        </w:rPr>
        <w:t>《山西省襄垣县首钢长治钢铁有限公司襄垣熔剂分公司熔剂用石灰岩矿山矿产资源开发利用、地质环境保护</w:t>
      </w:r>
    </w:p>
    <w:p>
      <w:pPr>
        <w:autoSpaceDE w:val="0"/>
        <w:spacing w:line="600" w:lineRule="exact"/>
        <w:jc w:val="center"/>
        <w:outlineLvl w:val="0"/>
        <w:rPr>
          <w:rFonts w:ascii="黑体" w:hAnsi="黑体" w:eastAsia="黑体"/>
          <w:sz w:val="36"/>
          <w:szCs w:val="36"/>
        </w:rPr>
      </w:pPr>
      <w:r>
        <w:rPr>
          <w:rFonts w:hint="eastAsia" w:ascii="黑体" w:hAnsi="黑体" w:eastAsia="黑体"/>
          <w:sz w:val="36"/>
          <w:szCs w:val="36"/>
        </w:rPr>
        <w:t>与治理恢复、土地复垦方案》评审意见书</w:t>
      </w:r>
    </w:p>
    <w:p>
      <w:pPr>
        <w:autoSpaceDE w:val="0"/>
        <w:spacing w:beforeLines="100"/>
        <w:ind w:firstLine="2711" w:firstLineChars="900"/>
        <w:jc w:val="both"/>
        <w:rPr>
          <w:rFonts w:ascii="楷体_GB2312" w:hAnsi="华文中宋" w:eastAsia="楷体_GB2312"/>
          <w:b/>
          <w:sz w:val="30"/>
          <w:szCs w:val="30"/>
        </w:rPr>
      </w:pPr>
      <w:r>
        <w:rPr>
          <w:rFonts w:hint="eastAsia" w:ascii="楷体_GB2312" w:hAnsi="华文中宋" w:eastAsia="楷体_GB2312"/>
          <w:b/>
          <w:sz w:val="30"/>
          <w:szCs w:val="30"/>
        </w:rPr>
        <w:t>212</w:t>
      </w:r>
      <w:r>
        <w:rPr>
          <w:rFonts w:ascii="楷体_GB2312" w:hAnsi="华文中宋" w:eastAsia="楷体_GB2312"/>
          <w:b/>
          <w:sz w:val="30"/>
          <w:szCs w:val="30"/>
        </w:rPr>
        <w:t>审字[20</w:t>
      </w:r>
      <w:r>
        <w:rPr>
          <w:rFonts w:hint="eastAsia" w:ascii="楷体_GB2312" w:hAnsi="华文中宋" w:eastAsia="楷体_GB2312"/>
          <w:b/>
          <w:sz w:val="30"/>
          <w:szCs w:val="30"/>
        </w:rPr>
        <w:t>20</w:t>
      </w:r>
      <w:r>
        <w:rPr>
          <w:rFonts w:ascii="楷体_GB2312" w:hAnsi="华文中宋" w:eastAsia="楷体_GB2312"/>
          <w:b/>
          <w:sz w:val="30"/>
          <w:szCs w:val="30"/>
        </w:rPr>
        <w:t>]0</w:t>
      </w:r>
      <w:r>
        <w:rPr>
          <w:rFonts w:hint="eastAsia" w:ascii="楷体_GB2312" w:hAnsi="华文中宋" w:eastAsia="楷体_GB2312"/>
          <w:b/>
          <w:sz w:val="30"/>
          <w:szCs w:val="30"/>
        </w:rPr>
        <w:t>6</w:t>
      </w:r>
      <w:r>
        <w:rPr>
          <w:rFonts w:ascii="楷体_GB2312" w:hAnsi="华文中宋" w:eastAsia="楷体_GB2312"/>
          <w:b/>
          <w:sz w:val="30"/>
          <w:szCs w:val="30"/>
        </w:rPr>
        <w:t>号</w:t>
      </w:r>
    </w:p>
    <w:p>
      <w:pPr>
        <w:spacing w:line="240" w:lineRule="atLeast"/>
        <w:jc w:val="center"/>
        <w:rPr>
          <w:rFonts w:ascii="楷体_GB2312"/>
        </w:rPr>
      </w:pPr>
    </w:p>
    <w:p>
      <w:pPr>
        <w:jc w:val="center"/>
        <w:rPr>
          <w:rFonts w:ascii="楷体_GB2312"/>
        </w:rPr>
      </w:pPr>
    </w:p>
    <w:p>
      <w:pPr>
        <w:jc w:val="center"/>
        <w:rPr>
          <w:rFonts w:ascii="楷体_GB2312"/>
        </w:rPr>
      </w:pPr>
    </w:p>
    <w:p>
      <w:pPr>
        <w:jc w:val="center"/>
        <w:rPr>
          <w:rFonts w:ascii="楷体_GB2312"/>
          <w:sz w:val="24"/>
          <w:szCs w:val="24"/>
        </w:rPr>
      </w:pPr>
    </w:p>
    <w:p>
      <w:pPr>
        <w:jc w:val="center"/>
        <w:rPr>
          <w:rFonts w:ascii="楷体_GB2312"/>
          <w:sz w:val="24"/>
          <w:szCs w:val="24"/>
        </w:rPr>
      </w:pPr>
    </w:p>
    <w:p>
      <w:pPr>
        <w:jc w:val="center"/>
        <w:rPr>
          <w:rFonts w:ascii="楷体_GB2312"/>
          <w:sz w:val="24"/>
          <w:szCs w:val="24"/>
        </w:rPr>
      </w:pPr>
    </w:p>
    <w:p>
      <w:pPr>
        <w:jc w:val="center"/>
        <w:rPr>
          <w:rFonts w:ascii="楷体_GB2312"/>
          <w:sz w:val="24"/>
          <w:szCs w:val="24"/>
        </w:rPr>
      </w:pPr>
    </w:p>
    <w:p>
      <w:pPr>
        <w:jc w:val="center"/>
        <w:rPr>
          <w:rFonts w:ascii="楷体_GB2312"/>
          <w:sz w:val="24"/>
          <w:szCs w:val="24"/>
        </w:rPr>
      </w:pPr>
    </w:p>
    <w:p>
      <w:pPr>
        <w:rPr>
          <w:rFonts w:ascii="楷体_GB2312"/>
          <w:sz w:val="24"/>
          <w:szCs w:val="24"/>
        </w:rPr>
      </w:pPr>
    </w:p>
    <w:p>
      <w:pPr>
        <w:jc w:val="center"/>
        <w:rPr>
          <w:rFonts w:ascii="楷体_GB2312"/>
          <w:sz w:val="24"/>
          <w:szCs w:val="24"/>
        </w:rPr>
      </w:pPr>
    </w:p>
    <w:p>
      <w:pPr>
        <w:jc w:val="center"/>
        <w:rPr>
          <w:rFonts w:ascii="楷体_GB2312"/>
          <w:sz w:val="24"/>
          <w:szCs w:val="24"/>
        </w:rPr>
      </w:pPr>
    </w:p>
    <w:p>
      <w:pPr>
        <w:jc w:val="center"/>
        <w:rPr>
          <w:rFonts w:ascii="楷体_GB2312"/>
          <w:sz w:val="24"/>
          <w:szCs w:val="24"/>
        </w:rPr>
      </w:pPr>
    </w:p>
    <w:p>
      <w:pPr>
        <w:jc w:val="center"/>
        <w:rPr>
          <w:rFonts w:ascii="楷体_GB2312"/>
          <w:sz w:val="24"/>
          <w:szCs w:val="24"/>
        </w:rPr>
      </w:pPr>
    </w:p>
    <w:p>
      <w:pPr>
        <w:rPr>
          <w:rFonts w:ascii="楷体_GB2312"/>
          <w:b/>
          <w:bCs/>
          <w:sz w:val="30"/>
          <w:szCs w:val="30"/>
        </w:rPr>
      </w:pPr>
    </w:p>
    <w:p>
      <w:pPr>
        <w:autoSpaceDE w:val="0"/>
        <w:adjustRightInd w:val="0"/>
        <w:snapToGrid w:val="0"/>
        <w:spacing w:line="600" w:lineRule="exact"/>
        <w:jc w:val="center"/>
        <w:rPr>
          <w:rFonts w:hint="default" w:ascii="楷体_GB2312" w:hAnsi="华文中宋" w:eastAsia="楷体_GB2312"/>
          <w:b/>
          <w:sz w:val="30"/>
          <w:szCs w:val="30"/>
          <w:lang w:val="en-US" w:eastAsia="zh-CN"/>
        </w:rPr>
      </w:pPr>
      <w:r>
        <w:rPr>
          <w:rFonts w:ascii="楷体_GB2312" w:hAnsi="华文中宋" w:eastAsia="楷体_GB2312"/>
          <w:b/>
          <w:sz w:val="30"/>
          <w:szCs w:val="30"/>
        </w:rPr>
        <w:t>山西省</w:t>
      </w:r>
      <w:r>
        <w:rPr>
          <w:rFonts w:hint="eastAsia" w:ascii="楷体_GB2312" w:hAnsi="华文中宋" w:eastAsia="楷体_GB2312"/>
          <w:b/>
          <w:sz w:val="30"/>
          <w:szCs w:val="30"/>
        </w:rPr>
        <w:t>地质勘查局二一二地质队</w:t>
      </w:r>
      <w:r>
        <w:rPr>
          <w:rFonts w:hint="eastAsia" w:ascii="楷体_GB2312" w:hAnsi="华文中宋" w:eastAsia="楷体_GB2312"/>
          <w:b/>
          <w:sz w:val="30"/>
          <w:szCs w:val="30"/>
          <w:lang w:val="en-US" w:eastAsia="zh-CN"/>
        </w:rPr>
        <w:t>专业技术委员会</w:t>
      </w:r>
    </w:p>
    <w:p>
      <w:pPr>
        <w:autoSpaceDE w:val="0"/>
        <w:adjustRightInd w:val="0"/>
        <w:snapToGrid w:val="0"/>
        <w:spacing w:line="600" w:lineRule="exact"/>
        <w:jc w:val="center"/>
        <w:rPr>
          <w:rFonts w:ascii="楷体_GB2312" w:hAnsi="华文中宋" w:eastAsia="楷体_GB2312"/>
          <w:b/>
          <w:sz w:val="30"/>
          <w:szCs w:val="30"/>
        </w:rPr>
      </w:pPr>
      <w:r>
        <w:rPr>
          <w:rFonts w:ascii="楷体_GB2312" w:hAnsi="华文中宋" w:eastAsia="楷体_GB2312"/>
          <w:b/>
          <w:sz w:val="30"/>
          <w:szCs w:val="30"/>
        </w:rPr>
        <w:t>二〇二〇年</w:t>
      </w:r>
      <w:r>
        <w:rPr>
          <w:rFonts w:hint="eastAsia" w:ascii="楷体_GB2312" w:hAnsi="华文中宋" w:eastAsia="楷体_GB2312"/>
          <w:b/>
          <w:sz w:val="30"/>
          <w:szCs w:val="30"/>
        </w:rPr>
        <w:t>六</w:t>
      </w:r>
      <w:r>
        <w:rPr>
          <w:rFonts w:ascii="楷体_GB2312" w:hAnsi="华文中宋" w:eastAsia="楷体_GB2312"/>
          <w:b/>
          <w:sz w:val="30"/>
          <w:szCs w:val="30"/>
        </w:rPr>
        <w:t>月</w:t>
      </w:r>
      <w:r>
        <w:rPr>
          <w:rFonts w:hint="eastAsia" w:ascii="楷体_GB2312" w:hAnsi="华文中宋" w:eastAsia="楷体_GB2312"/>
          <w:b/>
          <w:sz w:val="30"/>
          <w:szCs w:val="30"/>
        </w:rPr>
        <w:t>二</w:t>
      </w:r>
      <w:r>
        <w:rPr>
          <w:rFonts w:ascii="楷体_GB2312" w:hAnsi="华文中宋" w:eastAsia="楷体_GB2312"/>
          <w:b/>
          <w:sz w:val="30"/>
          <w:szCs w:val="30"/>
        </w:rPr>
        <w:t>日</w:t>
      </w:r>
    </w:p>
    <w:p>
      <w:pPr>
        <w:autoSpaceDE w:val="0"/>
        <w:spacing w:line="660" w:lineRule="exact"/>
        <w:jc w:val="center"/>
        <w:outlineLvl w:val="0"/>
        <w:rPr>
          <w:rFonts w:ascii="黑体" w:hAnsi="黑体" w:eastAsia="黑体"/>
          <w:sz w:val="36"/>
          <w:szCs w:val="36"/>
        </w:rPr>
      </w:pPr>
    </w:p>
    <w:p>
      <w:pPr>
        <w:widowControl/>
        <w:jc w:val="left"/>
        <w:rPr>
          <w:rFonts w:eastAsia="黑体"/>
          <w:color w:val="FF0000"/>
          <w:kern w:val="0"/>
          <w:sz w:val="30"/>
          <w:szCs w:val="30"/>
        </w:rPr>
        <w:sectPr>
          <w:pgSz w:w="11906" w:h="16838"/>
          <w:pgMar w:top="1417" w:right="1418" w:bottom="1417" w:left="1701" w:header="720" w:footer="720" w:gutter="0"/>
          <w:cols w:space="720" w:num="1"/>
          <w:docGrid w:type="lines" w:linePitch="290" w:charSpace="0"/>
        </w:sectPr>
      </w:pPr>
    </w:p>
    <w:p>
      <w:pPr>
        <w:spacing w:line="480" w:lineRule="auto"/>
        <w:ind w:left="1726" w:leftChars="-171" w:right="-496" w:rightChars="-236" w:hanging="2085" w:hangingChars="695"/>
        <w:rPr>
          <w:rFonts w:eastAsia="黑体"/>
          <w:color w:val="FF0000"/>
          <w:kern w:val="0"/>
          <w:sz w:val="30"/>
          <w:szCs w:val="30"/>
        </w:rPr>
      </w:pPr>
    </w:p>
    <w:p>
      <w:pPr>
        <w:spacing w:line="480" w:lineRule="auto"/>
        <w:ind w:left="3102" w:leftChars="-171" w:right="-496" w:rightChars="-236" w:hanging="3461" w:hangingChars="695"/>
        <w:rPr>
          <w:rFonts w:ascii="楷体_GB2312" w:hAnsi="华文中宋" w:eastAsia="楷体_GB2312"/>
          <w:sz w:val="30"/>
          <w:szCs w:val="30"/>
        </w:rPr>
      </w:pPr>
      <w:r>
        <w:rPr>
          <w:rFonts w:hint="eastAsia" w:ascii="黑体" w:hAnsi="黑体" w:eastAsia="黑体"/>
          <w:spacing w:val="99"/>
          <w:kern w:val="0"/>
          <w:sz w:val="30"/>
          <w:szCs w:val="30"/>
        </w:rPr>
        <w:t>方案名</w:t>
      </w:r>
      <w:r>
        <w:rPr>
          <w:rFonts w:hint="eastAsia" w:ascii="黑体" w:hAnsi="黑体" w:eastAsia="黑体"/>
          <w:spacing w:val="1"/>
          <w:kern w:val="0"/>
          <w:sz w:val="30"/>
          <w:szCs w:val="30"/>
        </w:rPr>
        <w:t>称</w:t>
      </w:r>
      <w:r>
        <w:rPr>
          <w:rFonts w:hint="eastAsia" w:ascii="黑体" w:hAnsi="黑体" w:eastAsia="黑体"/>
          <w:sz w:val="28"/>
          <w:szCs w:val="28"/>
        </w:rPr>
        <w:t>：</w:t>
      </w:r>
      <w:r>
        <w:rPr>
          <w:rFonts w:hint="eastAsia" w:ascii="楷体_GB2312" w:hAnsi="华文中宋" w:eastAsia="楷体_GB2312"/>
          <w:sz w:val="30"/>
          <w:szCs w:val="30"/>
        </w:rPr>
        <w:t>山西省襄垣县首钢长治钢铁有限公司襄垣熔剂分公</w:t>
      </w:r>
    </w:p>
    <w:p>
      <w:pPr>
        <w:spacing w:line="480" w:lineRule="auto"/>
        <w:ind w:left="1718" w:leftChars="818" w:right="-496" w:rightChars="-236"/>
        <w:rPr>
          <w:rFonts w:ascii="楷体_GB2312" w:hAnsi="华文中宋" w:eastAsia="楷体_GB2312"/>
          <w:sz w:val="30"/>
          <w:szCs w:val="30"/>
        </w:rPr>
      </w:pPr>
      <w:r>
        <w:rPr>
          <w:rFonts w:hint="eastAsia" w:ascii="楷体_GB2312" w:hAnsi="华文中宋" w:eastAsia="楷体_GB2312"/>
          <w:sz w:val="30"/>
          <w:szCs w:val="30"/>
        </w:rPr>
        <w:t>司熔剂</w:t>
      </w:r>
      <w:r>
        <w:rPr>
          <w:rFonts w:ascii="楷体_GB2312" w:hAnsi="华文中宋" w:eastAsia="楷体_GB2312"/>
          <w:sz w:val="30"/>
          <w:szCs w:val="30"/>
        </w:rPr>
        <w:t>用</w:t>
      </w:r>
      <w:r>
        <w:rPr>
          <w:rFonts w:hint="eastAsia" w:ascii="楷体_GB2312" w:hAnsi="华文中宋" w:eastAsia="楷体_GB2312"/>
          <w:sz w:val="30"/>
          <w:szCs w:val="30"/>
        </w:rPr>
        <w:t>石</w:t>
      </w:r>
      <w:r>
        <w:rPr>
          <w:rFonts w:ascii="楷体_GB2312" w:hAnsi="华文中宋" w:eastAsia="楷体_GB2312"/>
          <w:sz w:val="30"/>
          <w:szCs w:val="30"/>
        </w:rPr>
        <w:t>灰岩矿山矿产资源开发利用、地质环境</w:t>
      </w:r>
    </w:p>
    <w:p>
      <w:pPr>
        <w:spacing w:line="480" w:lineRule="auto"/>
        <w:ind w:left="1718" w:leftChars="818" w:right="-496" w:rightChars="-236"/>
        <w:rPr>
          <w:rFonts w:ascii="楷体_GB2312" w:hAnsi="华文中宋" w:eastAsia="楷体_GB2312"/>
          <w:sz w:val="30"/>
          <w:szCs w:val="30"/>
        </w:rPr>
      </w:pPr>
      <w:r>
        <w:rPr>
          <w:rFonts w:ascii="楷体_GB2312" w:hAnsi="华文中宋" w:eastAsia="楷体_GB2312"/>
          <w:sz w:val="30"/>
          <w:szCs w:val="30"/>
        </w:rPr>
        <w:t>保护与治理恢复、</w:t>
      </w:r>
      <w:r>
        <w:rPr>
          <w:rFonts w:hint="eastAsia" w:ascii="楷体_GB2312" w:hAnsi="华文中宋" w:eastAsia="楷体_GB2312"/>
          <w:sz w:val="30"/>
          <w:szCs w:val="30"/>
        </w:rPr>
        <w:t>土地复垦方案</w:t>
      </w:r>
    </w:p>
    <w:p>
      <w:pPr>
        <w:spacing w:beforeLines="75" w:line="480" w:lineRule="auto"/>
        <w:ind w:left="1875" w:leftChars="-171" w:right="-496" w:rightChars="-236" w:hanging="2234" w:hangingChars="735"/>
        <w:jc w:val="left"/>
        <w:rPr>
          <w:rFonts w:ascii="楷体_GB2312" w:hAnsi="华文中宋" w:eastAsia="楷体_GB2312"/>
          <w:sz w:val="30"/>
          <w:szCs w:val="30"/>
        </w:rPr>
      </w:pPr>
      <w:r>
        <w:rPr>
          <w:rFonts w:hint="eastAsia" w:ascii="黑体" w:hAnsi="黑体" w:eastAsia="黑体"/>
          <w:spacing w:val="2"/>
          <w:kern w:val="0"/>
          <w:sz w:val="30"/>
          <w:szCs w:val="30"/>
        </w:rPr>
        <w:t>方</w:t>
      </w:r>
      <w:r>
        <w:rPr>
          <w:rFonts w:hint="eastAsia" w:ascii="黑体" w:hAnsi="黑体" w:eastAsia="黑体"/>
          <w:kern w:val="0"/>
          <w:sz w:val="30"/>
          <w:szCs w:val="30"/>
        </w:rPr>
        <w:t>案编制单位</w:t>
      </w:r>
      <w:r>
        <w:rPr>
          <w:rFonts w:hint="eastAsia" w:ascii="黑体" w:hAnsi="黑体" w:eastAsia="黑体"/>
          <w:sz w:val="28"/>
          <w:szCs w:val="28"/>
        </w:rPr>
        <w:t>：</w:t>
      </w:r>
      <w:r>
        <w:rPr>
          <w:rFonts w:hint="eastAsia" w:ascii="楷体_GB2312" w:hAnsi="华文中宋" w:eastAsia="楷体_GB2312"/>
          <w:sz w:val="30"/>
          <w:szCs w:val="30"/>
        </w:rPr>
        <w:t>山西中地高原勘探工程有限公司</w:t>
      </w:r>
    </w:p>
    <w:p>
      <w:pPr>
        <w:spacing w:beforeLines="75" w:line="480" w:lineRule="auto"/>
        <w:ind w:left="1875" w:leftChars="-171" w:right="-496" w:rightChars="-236" w:hanging="2234" w:hangingChars="735"/>
        <w:jc w:val="left"/>
        <w:rPr>
          <w:rFonts w:eastAsia="楷体_GB2312"/>
          <w:sz w:val="28"/>
          <w:szCs w:val="28"/>
        </w:rPr>
      </w:pPr>
      <w:r>
        <w:rPr>
          <w:rFonts w:hint="eastAsia" w:ascii="黑体" w:hAnsi="黑体" w:eastAsia="黑体"/>
          <w:spacing w:val="2"/>
          <w:kern w:val="0"/>
          <w:sz w:val="30"/>
          <w:szCs w:val="30"/>
        </w:rPr>
        <w:t>方</w:t>
      </w:r>
      <w:r>
        <w:rPr>
          <w:rFonts w:hint="eastAsia" w:ascii="黑体" w:hAnsi="黑体" w:eastAsia="黑体"/>
          <w:kern w:val="0"/>
          <w:sz w:val="30"/>
          <w:szCs w:val="30"/>
        </w:rPr>
        <w:t>案汇报人员</w:t>
      </w:r>
      <w:r>
        <w:rPr>
          <w:rFonts w:hint="eastAsia" w:ascii="黑体" w:hAnsi="黑体" w:eastAsia="黑体"/>
          <w:sz w:val="28"/>
          <w:szCs w:val="28"/>
        </w:rPr>
        <w:t>：</w:t>
      </w:r>
      <w:r>
        <w:rPr>
          <w:rFonts w:hint="eastAsia" w:ascii="楷体_GB2312" w:hAnsi="华文中宋" w:eastAsia="楷体_GB2312"/>
          <w:sz w:val="30"/>
          <w:szCs w:val="30"/>
        </w:rPr>
        <w:t xml:space="preserve">杨晓燕   高东春    </w:t>
      </w:r>
      <w:r>
        <w:rPr>
          <w:rFonts w:hint="eastAsia" w:ascii="黑体" w:hAnsi="黑体" w:eastAsia="黑体"/>
          <w:sz w:val="28"/>
          <w:szCs w:val="28"/>
        </w:rPr>
        <w:t xml:space="preserve">  </w:t>
      </w:r>
      <w:r>
        <w:rPr>
          <w:rFonts w:hint="eastAsia" w:ascii="楷体_GB2312" w:hAnsi="华文中宋" w:eastAsia="楷体_GB2312"/>
          <w:sz w:val="30"/>
          <w:szCs w:val="30"/>
        </w:rPr>
        <w:t xml:space="preserve">      </w:t>
      </w:r>
    </w:p>
    <w:p>
      <w:pPr>
        <w:spacing w:beforeLines="75" w:line="480" w:lineRule="auto"/>
        <w:ind w:left="2404" w:leftChars="-171" w:right="-496" w:rightChars="-236" w:hanging="2763" w:hangingChars="735"/>
        <w:jc w:val="left"/>
        <w:rPr>
          <w:rFonts w:ascii="楷体_GB2312" w:hAnsi="华文中宋" w:eastAsia="楷体_GB2312"/>
          <w:sz w:val="30"/>
          <w:szCs w:val="30"/>
        </w:rPr>
      </w:pPr>
      <w:r>
        <w:rPr>
          <w:rFonts w:hint="eastAsia" w:ascii="黑体" w:hAnsi="黑体" w:eastAsia="黑体"/>
          <w:spacing w:val="38"/>
          <w:kern w:val="0"/>
          <w:sz w:val="30"/>
          <w:szCs w:val="30"/>
        </w:rPr>
        <w:t>专家组组</w:t>
      </w:r>
      <w:r>
        <w:rPr>
          <w:rFonts w:hint="eastAsia" w:ascii="黑体" w:hAnsi="黑体" w:eastAsia="黑体"/>
          <w:kern w:val="0"/>
          <w:sz w:val="30"/>
          <w:szCs w:val="30"/>
        </w:rPr>
        <w:t>长</w:t>
      </w:r>
      <w:r>
        <w:rPr>
          <w:rFonts w:hint="eastAsia" w:ascii="黑体" w:hAnsi="黑体" w:eastAsia="黑体"/>
          <w:sz w:val="28"/>
          <w:szCs w:val="28"/>
        </w:rPr>
        <w:t>：</w:t>
      </w:r>
      <w:r>
        <w:rPr>
          <w:rFonts w:ascii="楷体_GB2312" w:hAnsi="华文中宋" w:eastAsia="楷体_GB2312"/>
          <w:sz w:val="30"/>
          <w:szCs w:val="30"/>
        </w:rPr>
        <w:t xml:space="preserve">赵利民   张民权   </w:t>
      </w:r>
      <w:r>
        <w:rPr>
          <w:rFonts w:hint="eastAsia" w:ascii="楷体_GB2312" w:hAnsi="华文中宋" w:eastAsia="楷体_GB2312"/>
          <w:sz w:val="30"/>
          <w:szCs w:val="30"/>
        </w:rPr>
        <w:t>范民民</w:t>
      </w:r>
    </w:p>
    <w:p>
      <w:pPr>
        <w:spacing w:beforeLines="75" w:line="480" w:lineRule="auto"/>
        <w:ind w:left="2404" w:leftChars="-171" w:right="-496" w:rightChars="-236" w:hanging="2763" w:hangingChars="735"/>
        <w:jc w:val="left"/>
        <w:rPr>
          <w:rFonts w:eastAsia="楷体_GB2312"/>
          <w:sz w:val="28"/>
          <w:szCs w:val="28"/>
        </w:rPr>
      </w:pPr>
      <w:r>
        <w:rPr>
          <w:rFonts w:hint="eastAsia" w:ascii="黑体" w:hAnsi="黑体" w:eastAsia="黑体"/>
          <w:spacing w:val="38"/>
          <w:kern w:val="0"/>
          <w:sz w:val="30"/>
          <w:szCs w:val="30"/>
        </w:rPr>
        <w:t>专家组成</w:t>
      </w:r>
      <w:r>
        <w:rPr>
          <w:rFonts w:hint="eastAsia" w:ascii="黑体" w:hAnsi="黑体" w:eastAsia="黑体"/>
          <w:kern w:val="0"/>
          <w:sz w:val="30"/>
          <w:szCs w:val="30"/>
        </w:rPr>
        <w:t>员</w:t>
      </w:r>
      <w:r>
        <w:rPr>
          <w:rFonts w:hint="eastAsia" w:ascii="黑体" w:hAnsi="黑体" w:eastAsia="黑体"/>
          <w:sz w:val="28"/>
          <w:szCs w:val="28"/>
        </w:rPr>
        <w:t>：</w:t>
      </w:r>
      <w:r>
        <w:rPr>
          <w:rFonts w:ascii="楷体_GB2312" w:hAnsi="华文中宋" w:eastAsia="楷体_GB2312"/>
          <w:sz w:val="30"/>
          <w:szCs w:val="30"/>
        </w:rPr>
        <w:t>翟虎林   黄广林   万爱东   张炜霞</w:t>
      </w:r>
    </w:p>
    <w:p>
      <w:pPr>
        <w:spacing w:beforeLines="75" w:line="480" w:lineRule="auto"/>
        <w:ind w:left="1846" w:leftChars="-171" w:right="-496" w:rightChars="-236" w:hanging="2205" w:hangingChars="735"/>
        <w:jc w:val="left"/>
        <w:rPr>
          <w:rFonts w:ascii="楷体_GB2312" w:hAnsi="华文楷体"/>
          <w:sz w:val="28"/>
          <w:szCs w:val="28"/>
        </w:rPr>
      </w:pPr>
      <w:r>
        <w:rPr>
          <w:rFonts w:hint="eastAsia" w:ascii="黑体" w:hAnsi="黑体" w:eastAsia="黑体"/>
          <w:kern w:val="0"/>
          <w:sz w:val="30"/>
          <w:szCs w:val="30"/>
        </w:rPr>
        <w:t>评审会议地</w:t>
      </w:r>
      <w:r>
        <w:rPr>
          <w:rFonts w:hint="eastAsia" w:ascii="黑体" w:hAnsi="黑体" w:eastAsia="黑体"/>
          <w:spacing w:val="5"/>
          <w:kern w:val="0"/>
          <w:sz w:val="30"/>
          <w:szCs w:val="30"/>
        </w:rPr>
        <w:t>点</w:t>
      </w:r>
      <w:r>
        <w:rPr>
          <w:rFonts w:hint="eastAsia" w:ascii="黑体" w:hAnsi="黑体" w:eastAsia="黑体"/>
          <w:sz w:val="28"/>
          <w:szCs w:val="28"/>
        </w:rPr>
        <w:t>：</w:t>
      </w:r>
      <w:r>
        <w:rPr>
          <w:rFonts w:ascii="楷体_GB2312" w:hAnsi="华文中宋" w:eastAsia="楷体_GB2312"/>
          <w:sz w:val="30"/>
          <w:szCs w:val="30"/>
        </w:rPr>
        <w:t>山西省地质</w:t>
      </w:r>
      <w:r>
        <w:rPr>
          <w:rFonts w:hint="eastAsia" w:ascii="楷体_GB2312" w:hAnsi="华文中宋" w:eastAsia="楷体_GB2312"/>
          <w:sz w:val="30"/>
          <w:szCs w:val="30"/>
        </w:rPr>
        <w:t>勘查局二一二地质队</w:t>
      </w:r>
      <w:r>
        <w:rPr>
          <w:rFonts w:ascii="楷体_GB2312" w:hAnsi="华文中宋" w:eastAsia="楷体_GB2312"/>
          <w:sz w:val="30"/>
          <w:szCs w:val="30"/>
        </w:rPr>
        <w:t>三楼会议室（</w:t>
      </w:r>
      <w:r>
        <w:rPr>
          <w:rFonts w:hint="eastAsia" w:ascii="楷体_GB2312" w:hAnsi="华文中宋" w:eastAsia="楷体_GB2312"/>
          <w:sz w:val="30"/>
          <w:szCs w:val="30"/>
        </w:rPr>
        <w:t>西南关</w:t>
      </w:r>
      <w:r>
        <w:rPr>
          <w:rFonts w:ascii="楷体_GB2312" w:hAnsi="华文中宋" w:eastAsia="楷体_GB2312"/>
          <w:sz w:val="30"/>
          <w:szCs w:val="30"/>
        </w:rPr>
        <w:t>）</w:t>
      </w:r>
    </w:p>
    <w:p>
      <w:pPr>
        <w:spacing w:beforeLines="75" w:line="480" w:lineRule="auto"/>
        <w:ind w:left="1875" w:leftChars="-171" w:right="-496" w:rightChars="-236" w:hanging="2234" w:hangingChars="735"/>
        <w:jc w:val="left"/>
        <w:rPr>
          <w:rFonts w:ascii="黑体" w:hAnsi="华文中宋" w:eastAsia="黑体"/>
          <w:color w:val="FF0000"/>
          <w:sz w:val="36"/>
          <w:szCs w:val="36"/>
        </w:rPr>
      </w:pPr>
      <w:r>
        <w:rPr>
          <w:rFonts w:hint="eastAsia" w:ascii="黑体" w:hAnsi="黑体" w:eastAsia="黑体"/>
          <w:spacing w:val="2"/>
          <w:kern w:val="0"/>
          <w:sz w:val="30"/>
          <w:szCs w:val="30"/>
        </w:rPr>
        <w:t>评审会议日</w:t>
      </w:r>
      <w:r>
        <w:rPr>
          <w:rFonts w:hint="eastAsia" w:ascii="黑体" w:hAnsi="黑体" w:eastAsia="黑体"/>
          <w:spacing w:val="-4"/>
          <w:kern w:val="0"/>
          <w:sz w:val="30"/>
          <w:szCs w:val="30"/>
        </w:rPr>
        <w:t>期</w:t>
      </w:r>
      <w:r>
        <w:rPr>
          <w:rFonts w:hint="eastAsia" w:ascii="黑体" w:hAnsi="黑体" w:eastAsia="黑体"/>
          <w:sz w:val="28"/>
          <w:szCs w:val="28"/>
        </w:rPr>
        <w:t>：</w:t>
      </w:r>
      <w:r>
        <w:rPr>
          <w:rFonts w:ascii="楷体_GB2312" w:hAnsi="华文中宋" w:eastAsia="楷体_GB2312"/>
          <w:sz w:val="30"/>
          <w:szCs w:val="30"/>
        </w:rPr>
        <w:t>二〇二〇年</w:t>
      </w:r>
      <w:r>
        <w:rPr>
          <w:rFonts w:hint="eastAsia" w:ascii="楷体_GB2312" w:hAnsi="华文中宋" w:eastAsia="楷体_GB2312"/>
          <w:sz w:val="30"/>
          <w:szCs w:val="30"/>
        </w:rPr>
        <w:t>四</w:t>
      </w:r>
      <w:r>
        <w:rPr>
          <w:rFonts w:ascii="楷体_GB2312" w:hAnsi="华文中宋" w:eastAsia="楷体_GB2312"/>
          <w:sz w:val="30"/>
          <w:szCs w:val="30"/>
        </w:rPr>
        <w:t>月</w:t>
      </w:r>
      <w:r>
        <w:rPr>
          <w:rFonts w:hint="eastAsia" w:ascii="楷体_GB2312" w:hAnsi="华文中宋" w:eastAsia="楷体_GB2312"/>
          <w:sz w:val="30"/>
          <w:szCs w:val="30"/>
        </w:rPr>
        <w:t>二十三</w:t>
      </w:r>
      <w:r>
        <w:rPr>
          <w:rFonts w:ascii="楷体_GB2312" w:hAnsi="华文中宋" w:eastAsia="楷体_GB2312"/>
          <w:sz w:val="30"/>
          <w:szCs w:val="30"/>
        </w:rPr>
        <w:t>日</w:t>
      </w:r>
    </w:p>
    <w:p>
      <w:pPr>
        <w:widowControl/>
        <w:spacing w:line="480" w:lineRule="auto"/>
        <w:jc w:val="left"/>
        <w:rPr>
          <w:rFonts w:ascii="黑体" w:hAnsi="华文中宋" w:eastAsia="黑体"/>
          <w:sz w:val="36"/>
          <w:szCs w:val="36"/>
        </w:rPr>
        <w:sectPr>
          <w:pgSz w:w="11906" w:h="16838"/>
          <w:pgMar w:top="1440" w:right="1701" w:bottom="1440" w:left="1701" w:header="720" w:footer="720" w:gutter="0"/>
          <w:cols w:space="720" w:num="1"/>
          <w:docGrid w:type="lines" w:linePitch="312" w:charSpace="0"/>
        </w:sectPr>
      </w:pPr>
    </w:p>
    <w:p>
      <w:pPr>
        <w:autoSpaceDE w:val="0"/>
        <w:spacing w:line="600" w:lineRule="exact"/>
        <w:ind w:left="-20" w:leftChars="-148" w:right="-250" w:rightChars="-119" w:hanging="291" w:hangingChars="81"/>
        <w:jc w:val="center"/>
        <w:rPr>
          <w:rFonts w:ascii="黑体" w:hAnsi="华文中宋" w:eastAsia="黑体"/>
          <w:sz w:val="36"/>
          <w:szCs w:val="36"/>
        </w:rPr>
      </w:pPr>
      <w:r>
        <w:rPr>
          <w:rFonts w:hint="eastAsia" w:ascii="黑体" w:hAnsi="黑体" w:eastAsia="黑体"/>
          <w:sz w:val="36"/>
          <w:szCs w:val="36"/>
        </w:rPr>
        <w:t>《山西省襄垣县首钢长治钢铁有限公司襄垣熔剂分公司</w:t>
      </w:r>
    </w:p>
    <w:p>
      <w:pPr>
        <w:autoSpaceDE w:val="0"/>
        <w:spacing w:line="600" w:lineRule="exact"/>
        <w:ind w:left="-20" w:leftChars="-148" w:right="-250" w:rightChars="-119" w:hanging="291" w:hangingChars="81"/>
        <w:jc w:val="center"/>
        <w:rPr>
          <w:rFonts w:ascii="黑体" w:hAnsi="华文中宋" w:eastAsia="黑体"/>
          <w:sz w:val="36"/>
          <w:szCs w:val="36"/>
        </w:rPr>
      </w:pPr>
      <w:r>
        <w:rPr>
          <w:rFonts w:hint="eastAsia" w:ascii="黑体" w:hAnsi="黑体" w:eastAsia="黑体"/>
          <w:sz w:val="36"/>
          <w:szCs w:val="36"/>
        </w:rPr>
        <w:t>熔剂用石灰岩矿山矿产资源开发利用、地质环境保护</w:t>
      </w:r>
    </w:p>
    <w:p>
      <w:pPr>
        <w:autoSpaceDE w:val="0"/>
        <w:spacing w:line="600" w:lineRule="exact"/>
        <w:ind w:left="-20" w:leftChars="-148" w:right="-250" w:rightChars="-119" w:hanging="291" w:hangingChars="81"/>
        <w:jc w:val="center"/>
        <w:rPr>
          <w:rFonts w:ascii="黑体" w:hAnsi="华文中宋" w:eastAsia="黑体"/>
          <w:sz w:val="36"/>
          <w:szCs w:val="36"/>
        </w:rPr>
      </w:pPr>
      <w:r>
        <w:rPr>
          <w:rFonts w:hint="eastAsia" w:ascii="黑体" w:hAnsi="黑体" w:eastAsia="黑体"/>
          <w:sz w:val="36"/>
          <w:szCs w:val="36"/>
        </w:rPr>
        <w:t>与治理恢复、土地复垦方案》评审意见</w:t>
      </w:r>
    </w:p>
    <w:p>
      <w:pPr>
        <w:keepNext w:val="0"/>
        <w:keepLines w:val="0"/>
        <w:pageBreakBefore w:val="0"/>
        <w:widowControl w:val="0"/>
        <w:kinsoku/>
        <w:wordWrap/>
        <w:overflowPunct/>
        <w:topLinePunct w:val="0"/>
        <w:autoSpaceDE w:val="0"/>
        <w:autoSpaceDN/>
        <w:bidi w:val="0"/>
        <w:adjustRightInd w:val="0"/>
        <w:snapToGrid w:val="0"/>
        <w:spacing w:line="600" w:lineRule="exact"/>
        <w:jc w:val="left"/>
        <w:textAlignment w:val="auto"/>
        <w:rPr>
          <w:rFonts w:ascii="仿宋_GB2312" w:hAnsi="仿宋" w:eastAsia="仿宋_GB2312"/>
          <w:sz w:val="28"/>
          <w:szCs w:val="28"/>
        </w:rPr>
      </w:pP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山西省地质勘查局二一二地质队</w:t>
      </w:r>
      <w:r>
        <w:rPr>
          <w:rFonts w:hint="eastAsia" w:ascii="仿宋_GB2312" w:hAnsi="仿宋" w:eastAsia="仿宋_GB2312"/>
          <w:sz w:val="28"/>
          <w:szCs w:val="28"/>
          <w:lang w:val="en-US" w:eastAsia="zh-CN"/>
        </w:rPr>
        <w:t>专业技术委员会</w:t>
      </w:r>
      <w:r>
        <w:rPr>
          <w:rFonts w:ascii="仿宋_GB2312" w:hAnsi="仿宋" w:eastAsia="仿宋_GB2312"/>
          <w:sz w:val="28"/>
          <w:szCs w:val="28"/>
        </w:rPr>
        <w:t>受长治市</w:t>
      </w:r>
      <w:r>
        <w:rPr>
          <w:rFonts w:hint="eastAsia" w:ascii="仿宋_GB2312" w:hAnsi="仿宋" w:eastAsia="仿宋_GB2312"/>
          <w:sz w:val="28"/>
          <w:szCs w:val="28"/>
        </w:rPr>
        <w:t>规划和自然</w:t>
      </w:r>
      <w:r>
        <w:rPr>
          <w:rFonts w:ascii="仿宋_GB2312" w:hAnsi="仿宋" w:eastAsia="仿宋_GB2312"/>
          <w:sz w:val="28"/>
          <w:szCs w:val="28"/>
        </w:rPr>
        <w:t>资源局委托，于20</w:t>
      </w:r>
      <w:r>
        <w:rPr>
          <w:rFonts w:hint="eastAsia" w:ascii="仿宋_GB2312" w:hAnsi="仿宋" w:eastAsia="仿宋_GB2312"/>
          <w:sz w:val="28"/>
          <w:szCs w:val="28"/>
        </w:rPr>
        <w:t>20</w:t>
      </w:r>
      <w:r>
        <w:rPr>
          <w:rFonts w:ascii="仿宋_GB2312" w:hAnsi="仿宋" w:eastAsia="仿宋_GB2312"/>
          <w:sz w:val="28"/>
          <w:szCs w:val="28"/>
        </w:rPr>
        <w:t>年</w:t>
      </w:r>
      <w:r>
        <w:rPr>
          <w:rFonts w:hint="eastAsia" w:ascii="仿宋_GB2312" w:hAnsi="仿宋" w:eastAsia="仿宋_GB2312"/>
          <w:sz w:val="28"/>
          <w:szCs w:val="28"/>
        </w:rPr>
        <w:t>4</w:t>
      </w:r>
      <w:r>
        <w:rPr>
          <w:rFonts w:ascii="仿宋_GB2312" w:hAnsi="仿宋" w:eastAsia="仿宋_GB2312"/>
          <w:sz w:val="28"/>
          <w:szCs w:val="28"/>
        </w:rPr>
        <w:t>月</w:t>
      </w:r>
      <w:r>
        <w:rPr>
          <w:rFonts w:hint="eastAsia" w:ascii="仿宋_GB2312" w:hAnsi="仿宋" w:eastAsia="仿宋_GB2312"/>
          <w:sz w:val="28"/>
          <w:szCs w:val="28"/>
        </w:rPr>
        <w:t>23</w:t>
      </w:r>
      <w:r>
        <w:rPr>
          <w:rFonts w:ascii="仿宋_GB2312" w:hAnsi="仿宋" w:eastAsia="仿宋_GB2312"/>
          <w:sz w:val="28"/>
          <w:szCs w:val="28"/>
        </w:rPr>
        <w:t>日组织有关专家在长治召开会议，依据《山西省国土资源厅关于实行矿产资源开发利用方案、地质环境保护与治理恢复方案、土地复垦方案编制及评审工作“三合一”的通知》（晋国土资函[2016]430号），对</w:t>
      </w:r>
      <w:r>
        <w:rPr>
          <w:rFonts w:hint="eastAsia" w:ascii="仿宋_GB2312" w:hAnsi="仿宋" w:eastAsia="仿宋_GB2312"/>
          <w:sz w:val="28"/>
          <w:szCs w:val="28"/>
        </w:rPr>
        <w:t>山西中地高原勘探工程有限公司</w:t>
      </w:r>
      <w:r>
        <w:rPr>
          <w:rFonts w:ascii="仿宋_GB2312" w:hAnsi="仿宋" w:eastAsia="仿宋_GB2312"/>
          <w:sz w:val="28"/>
          <w:szCs w:val="28"/>
        </w:rPr>
        <w:t>于20</w:t>
      </w:r>
      <w:r>
        <w:rPr>
          <w:rFonts w:hint="eastAsia" w:ascii="仿宋_GB2312" w:hAnsi="仿宋" w:eastAsia="仿宋_GB2312"/>
          <w:sz w:val="28"/>
          <w:szCs w:val="28"/>
        </w:rPr>
        <w:t>20</w:t>
      </w:r>
      <w:r>
        <w:rPr>
          <w:rFonts w:ascii="仿宋_GB2312" w:hAnsi="仿宋" w:eastAsia="仿宋_GB2312"/>
          <w:sz w:val="28"/>
          <w:szCs w:val="28"/>
        </w:rPr>
        <w:t>年</w:t>
      </w:r>
      <w:r>
        <w:rPr>
          <w:rFonts w:hint="eastAsia" w:ascii="仿宋_GB2312" w:hAnsi="仿宋" w:eastAsia="仿宋_GB2312"/>
          <w:sz w:val="28"/>
          <w:szCs w:val="28"/>
        </w:rPr>
        <w:t>4</w:t>
      </w:r>
      <w:r>
        <w:rPr>
          <w:rFonts w:ascii="仿宋_GB2312" w:hAnsi="仿宋" w:eastAsia="仿宋_GB2312"/>
          <w:sz w:val="28"/>
          <w:szCs w:val="28"/>
        </w:rPr>
        <w:t>月</w:t>
      </w:r>
      <w:r>
        <w:rPr>
          <w:rFonts w:hint="eastAsia" w:ascii="仿宋_GB2312" w:hAnsi="仿宋" w:eastAsia="仿宋_GB2312"/>
          <w:sz w:val="28"/>
          <w:szCs w:val="28"/>
        </w:rPr>
        <w:t>提交</w:t>
      </w:r>
      <w:r>
        <w:rPr>
          <w:rFonts w:ascii="仿宋_GB2312" w:hAnsi="仿宋" w:eastAsia="仿宋_GB2312"/>
          <w:sz w:val="28"/>
          <w:szCs w:val="28"/>
        </w:rPr>
        <w:t>的《</w:t>
      </w:r>
      <w:r>
        <w:rPr>
          <w:rFonts w:hint="eastAsia" w:ascii="仿宋_GB2312" w:hAnsi="仿宋" w:eastAsia="仿宋_GB2312"/>
          <w:sz w:val="28"/>
          <w:szCs w:val="28"/>
        </w:rPr>
        <w:t>山西省襄垣县首钢长治钢铁有限公司襄垣熔剂分公司熔剂用石</w:t>
      </w:r>
      <w:r>
        <w:rPr>
          <w:rFonts w:ascii="仿宋_GB2312" w:hAnsi="仿宋" w:eastAsia="仿宋_GB2312"/>
          <w:sz w:val="28"/>
          <w:szCs w:val="28"/>
        </w:rPr>
        <w:t>灰岩矿山矿产资源开发利用、地质环境保护与治理恢复、土地复垦方案》（下称《方案》）进行了认真审查，长治市</w:t>
      </w:r>
      <w:r>
        <w:rPr>
          <w:rFonts w:hint="eastAsia" w:ascii="仿宋_GB2312" w:hAnsi="仿宋" w:eastAsia="仿宋_GB2312"/>
          <w:sz w:val="28"/>
          <w:szCs w:val="28"/>
        </w:rPr>
        <w:t>规划和自然</w:t>
      </w:r>
      <w:r>
        <w:rPr>
          <w:rFonts w:ascii="仿宋_GB2312" w:hAnsi="仿宋" w:eastAsia="仿宋_GB2312"/>
          <w:sz w:val="28"/>
          <w:szCs w:val="28"/>
        </w:rPr>
        <w:t>资源局矿产资源开发管理科、</w:t>
      </w:r>
      <w:r>
        <w:rPr>
          <w:rFonts w:hint="eastAsia" w:ascii="仿宋_GB2312" w:hAnsi="仿宋" w:eastAsia="仿宋_GB2312"/>
          <w:sz w:val="28"/>
          <w:szCs w:val="28"/>
        </w:rPr>
        <w:t>国土空间生态修复</w:t>
      </w:r>
      <w:r>
        <w:rPr>
          <w:rFonts w:ascii="仿宋_GB2312" w:hAnsi="仿宋" w:eastAsia="仿宋_GB2312"/>
          <w:sz w:val="28"/>
          <w:szCs w:val="28"/>
        </w:rPr>
        <w:t>科、</w:t>
      </w:r>
      <w:r>
        <w:rPr>
          <w:rFonts w:hint="eastAsia" w:ascii="仿宋_GB2312" w:hAnsi="仿宋" w:eastAsia="仿宋_GB2312"/>
          <w:sz w:val="28"/>
          <w:szCs w:val="28"/>
        </w:rPr>
        <w:t>襄垣县自然</w:t>
      </w:r>
      <w:r>
        <w:rPr>
          <w:rFonts w:ascii="仿宋_GB2312" w:hAnsi="仿宋" w:eastAsia="仿宋_GB2312"/>
          <w:sz w:val="28"/>
          <w:szCs w:val="28"/>
        </w:rPr>
        <w:t>资源局派相关人员参加了评审会议。会议提出了修改意见及应补充的文件资料要求</w:t>
      </w:r>
      <w:r>
        <w:rPr>
          <w:rFonts w:hint="eastAsia" w:ascii="仿宋_GB2312" w:hAnsi="仿宋" w:eastAsia="仿宋_GB2312"/>
          <w:sz w:val="28"/>
          <w:szCs w:val="28"/>
        </w:rPr>
        <w:t>，</w:t>
      </w:r>
      <w:r>
        <w:rPr>
          <w:rFonts w:ascii="仿宋_GB2312" w:hAnsi="仿宋" w:eastAsia="仿宋_GB2312"/>
          <w:sz w:val="28"/>
          <w:szCs w:val="28"/>
        </w:rPr>
        <w:t>编制单位对《方案》进行了补充修改，经专家复核，于20</w:t>
      </w:r>
      <w:r>
        <w:rPr>
          <w:rFonts w:hint="eastAsia" w:ascii="仿宋_GB2312" w:hAnsi="仿宋" w:eastAsia="仿宋_GB2312"/>
          <w:sz w:val="28"/>
          <w:szCs w:val="28"/>
        </w:rPr>
        <w:t>20</w:t>
      </w:r>
      <w:r>
        <w:rPr>
          <w:rFonts w:ascii="仿宋_GB2312" w:hAnsi="仿宋" w:eastAsia="仿宋_GB2312"/>
          <w:sz w:val="28"/>
          <w:szCs w:val="28"/>
        </w:rPr>
        <w:t>年</w:t>
      </w:r>
      <w:r>
        <w:rPr>
          <w:rFonts w:hint="eastAsia" w:ascii="仿宋_GB2312" w:hAnsi="仿宋" w:eastAsiaTheme="minorEastAsia"/>
          <w:sz w:val="28"/>
          <w:szCs w:val="28"/>
        </w:rPr>
        <w:t>6</w:t>
      </w:r>
      <w:r>
        <w:rPr>
          <w:rFonts w:ascii="仿宋_GB2312" w:hAnsi="仿宋" w:eastAsia="仿宋_GB2312"/>
          <w:sz w:val="28"/>
          <w:szCs w:val="28"/>
        </w:rPr>
        <w:t>月</w:t>
      </w:r>
      <w:r>
        <w:rPr>
          <w:rFonts w:hint="eastAsia" w:ascii="仿宋_GB2312" w:hAnsi="仿宋" w:eastAsia="仿宋_GB2312"/>
          <w:sz w:val="28"/>
          <w:szCs w:val="28"/>
        </w:rPr>
        <w:t>2</w:t>
      </w:r>
      <w:r>
        <w:rPr>
          <w:rFonts w:ascii="仿宋_GB2312" w:hAnsi="仿宋" w:eastAsia="仿宋_GB2312"/>
          <w:sz w:val="28"/>
          <w:szCs w:val="28"/>
        </w:rPr>
        <w:t>日形成如下意见：</w:t>
      </w:r>
    </w:p>
    <w:p>
      <w:pPr>
        <w:adjustRightInd w:val="0"/>
        <w:snapToGrid w:val="0"/>
        <w:spacing w:beforeLines="100" w:line="360" w:lineRule="auto"/>
        <w:ind w:firstLine="602" w:firstLineChars="200"/>
        <w:outlineLvl w:val="0"/>
        <w:rPr>
          <w:rFonts w:ascii="楷体_GB2312" w:eastAsia="楷体_GB2312"/>
          <w:b/>
          <w:bCs/>
          <w:sz w:val="30"/>
          <w:szCs w:val="30"/>
        </w:rPr>
      </w:pPr>
      <w:r>
        <w:rPr>
          <w:rFonts w:hint="eastAsia" w:ascii="楷体_GB2312" w:eastAsia="楷体_GB2312"/>
          <w:b/>
          <w:bCs/>
          <w:sz w:val="30"/>
          <w:szCs w:val="30"/>
        </w:rPr>
        <w:t>一、矿区概况</w:t>
      </w:r>
    </w:p>
    <w:p>
      <w:pPr>
        <w:autoSpaceDE w:val="0"/>
        <w:adjustRightInd w:val="0"/>
        <w:snapToGrid w:val="0"/>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首钢长治钢铁有限公司襄垣熔剂分公司熔剂用石</w:t>
      </w:r>
      <w:r>
        <w:rPr>
          <w:rFonts w:ascii="仿宋_GB2312" w:hAnsi="仿宋" w:eastAsia="仿宋_GB2312"/>
          <w:sz w:val="28"/>
          <w:szCs w:val="28"/>
        </w:rPr>
        <w:t>灰岩矿山位于</w:t>
      </w:r>
      <w:r>
        <w:rPr>
          <w:rFonts w:hint="eastAsia" w:ascii="仿宋_GB2312" w:hAnsi="仿宋" w:eastAsia="仿宋_GB2312"/>
          <w:sz w:val="28"/>
          <w:szCs w:val="28"/>
        </w:rPr>
        <w:t>襄垣县南东112</w:t>
      </w:r>
      <w:r>
        <w:rPr>
          <w:rFonts w:hint="eastAsia" w:ascii="仿宋" w:hAnsi="仿宋" w:eastAsia="仿宋"/>
          <w:sz w:val="28"/>
          <w:szCs w:val="28"/>
        </w:rPr>
        <w:t>°</w:t>
      </w:r>
      <w:r>
        <w:rPr>
          <w:rFonts w:hint="eastAsia" w:ascii="仿宋_GB2312" w:hAnsi="仿宋" w:eastAsia="仿宋_GB2312"/>
          <w:sz w:val="28"/>
          <w:szCs w:val="28"/>
        </w:rPr>
        <w:t>直线距离12km处王桥镇岭后村北部一带</w:t>
      </w:r>
      <w:r>
        <w:rPr>
          <w:rFonts w:ascii="仿宋_GB2312" w:hAnsi="仿宋" w:eastAsia="仿宋_GB2312"/>
          <w:sz w:val="28"/>
          <w:szCs w:val="28"/>
        </w:rPr>
        <w:t>，行政区划</w:t>
      </w:r>
      <w:r>
        <w:rPr>
          <w:rFonts w:hint="eastAsia" w:ascii="仿宋_GB2312" w:hAnsi="仿宋" w:eastAsia="仿宋_GB2312"/>
          <w:sz w:val="28"/>
          <w:szCs w:val="28"/>
        </w:rPr>
        <w:t>隶</w:t>
      </w:r>
      <w:r>
        <w:rPr>
          <w:rFonts w:ascii="仿宋_GB2312" w:hAnsi="仿宋" w:eastAsia="仿宋_GB2312"/>
          <w:sz w:val="28"/>
          <w:szCs w:val="28"/>
        </w:rPr>
        <w:t>属</w:t>
      </w:r>
      <w:r>
        <w:rPr>
          <w:rFonts w:hint="eastAsia" w:ascii="仿宋_GB2312" w:hAnsi="仿宋" w:eastAsia="仿宋_GB2312"/>
          <w:sz w:val="28"/>
          <w:szCs w:val="28"/>
        </w:rPr>
        <w:t>王桥镇</w:t>
      </w:r>
      <w:r>
        <w:rPr>
          <w:rFonts w:ascii="仿宋_GB2312" w:hAnsi="仿宋" w:eastAsia="仿宋_GB2312"/>
          <w:sz w:val="28"/>
          <w:szCs w:val="28"/>
        </w:rPr>
        <w:t>管辖。地理坐标</w:t>
      </w:r>
      <w:r>
        <w:rPr>
          <w:rFonts w:hint="eastAsia" w:ascii="仿宋_GB2312" w:hAnsi="仿宋" w:eastAsia="仿宋_GB2312"/>
          <w:sz w:val="28"/>
          <w:szCs w:val="28"/>
        </w:rPr>
        <w:t>（西安80坐标系3</w:t>
      </w:r>
      <w:r>
        <w:rPr>
          <w:rFonts w:hint="eastAsia" w:ascii="仿宋" w:hAnsi="仿宋" w:eastAsia="仿宋"/>
          <w:sz w:val="28"/>
          <w:szCs w:val="28"/>
        </w:rPr>
        <w:t>°</w:t>
      </w:r>
      <w:r>
        <w:rPr>
          <w:rFonts w:hint="eastAsia" w:ascii="仿宋_GB2312" w:hAnsi="仿宋" w:eastAsia="仿宋_GB2312"/>
          <w:sz w:val="28"/>
          <w:szCs w:val="28"/>
        </w:rPr>
        <w:t>带）</w:t>
      </w:r>
      <w:r>
        <w:rPr>
          <w:rFonts w:ascii="仿宋_GB2312" w:hAnsi="仿宋" w:eastAsia="仿宋_GB2312"/>
          <w:sz w:val="28"/>
          <w:szCs w:val="28"/>
        </w:rPr>
        <w:t>为：东经11</w:t>
      </w:r>
      <w:r>
        <w:rPr>
          <w:rFonts w:hint="eastAsia" w:ascii="仿宋_GB2312" w:hAnsi="仿宋" w:eastAsia="仿宋_GB2312"/>
          <w:sz w:val="28"/>
          <w:szCs w:val="28"/>
        </w:rPr>
        <w:t>3</w:t>
      </w:r>
      <w:r>
        <w:rPr>
          <w:rFonts w:ascii="仿宋_GB2312" w:hAnsi="仿宋" w:eastAsia="仿宋_GB2312"/>
          <w:sz w:val="28"/>
          <w:szCs w:val="28"/>
        </w:rPr>
        <w:t>°</w:t>
      </w:r>
      <w:r>
        <w:rPr>
          <w:rFonts w:hint="eastAsia" w:ascii="仿宋_GB2312" w:hAnsi="仿宋" w:eastAsiaTheme="minorEastAsia"/>
          <w:sz w:val="28"/>
          <w:szCs w:val="28"/>
        </w:rPr>
        <w:t>10</w:t>
      </w:r>
      <w:r>
        <w:rPr>
          <w:rFonts w:ascii="仿宋_GB2312" w:hAnsi="仿宋" w:eastAsia="仿宋_GB2312"/>
          <w:sz w:val="28"/>
          <w:szCs w:val="28"/>
        </w:rPr>
        <w:t>′</w:t>
      </w:r>
      <w:r>
        <w:rPr>
          <w:rFonts w:hint="eastAsia" w:ascii="仿宋_GB2312" w:hAnsi="仿宋" w:eastAsiaTheme="minorEastAsia"/>
          <w:sz w:val="28"/>
          <w:szCs w:val="28"/>
        </w:rPr>
        <w:t>08</w:t>
      </w:r>
      <w:r>
        <w:rPr>
          <w:rFonts w:ascii="仿宋_GB2312" w:hAnsi="仿宋" w:eastAsia="仿宋_GB2312"/>
          <w:sz w:val="28"/>
          <w:szCs w:val="28"/>
        </w:rPr>
        <w:t>″～113°</w:t>
      </w:r>
      <w:r>
        <w:rPr>
          <w:rFonts w:hint="eastAsia" w:ascii="仿宋_GB2312" w:hAnsi="仿宋" w:eastAsiaTheme="minorEastAsia"/>
          <w:sz w:val="28"/>
          <w:szCs w:val="28"/>
        </w:rPr>
        <w:t>10</w:t>
      </w:r>
      <w:r>
        <w:rPr>
          <w:rFonts w:ascii="仿宋_GB2312" w:hAnsi="仿宋" w:eastAsia="仿宋_GB2312"/>
          <w:sz w:val="28"/>
          <w:szCs w:val="28"/>
        </w:rPr>
        <w:t>′</w:t>
      </w:r>
      <w:r>
        <w:rPr>
          <w:rFonts w:hint="eastAsia" w:ascii="仿宋_GB2312" w:hAnsi="仿宋" w:eastAsia="仿宋_GB2312"/>
          <w:sz w:val="28"/>
          <w:szCs w:val="28"/>
        </w:rPr>
        <w:t>20</w:t>
      </w:r>
      <w:r>
        <w:rPr>
          <w:rFonts w:ascii="仿宋_GB2312" w:hAnsi="仿宋" w:eastAsia="仿宋_GB2312"/>
          <w:sz w:val="28"/>
          <w:szCs w:val="28"/>
        </w:rPr>
        <w:t>″，北纬3</w:t>
      </w:r>
      <w:r>
        <w:rPr>
          <w:rFonts w:hint="eastAsia" w:ascii="仿宋_GB2312" w:hAnsi="仿宋" w:eastAsiaTheme="minorEastAsia"/>
          <w:sz w:val="28"/>
          <w:szCs w:val="28"/>
        </w:rPr>
        <w:t>6</w:t>
      </w:r>
      <w:r>
        <w:rPr>
          <w:rFonts w:ascii="仿宋_GB2312" w:hAnsi="仿宋" w:eastAsia="仿宋_GB2312"/>
          <w:sz w:val="28"/>
          <w:szCs w:val="28"/>
        </w:rPr>
        <w:t>°</w:t>
      </w:r>
      <w:r>
        <w:rPr>
          <w:rFonts w:hint="eastAsia" w:ascii="仿宋_GB2312" w:hAnsi="仿宋" w:eastAsiaTheme="minorEastAsia"/>
          <w:sz w:val="28"/>
          <w:szCs w:val="28"/>
        </w:rPr>
        <w:t>29</w:t>
      </w:r>
      <w:r>
        <w:rPr>
          <w:rFonts w:ascii="仿宋_GB2312" w:hAnsi="仿宋" w:eastAsia="仿宋_GB2312"/>
          <w:sz w:val="28"/>
          <w:szCs w:val="28"/>
        </w:rPr>
        <w:t>′</w:t>
      </w:r>
      <w:r>
        <w:rPr>
          <w:rFonts w:hint="eastAsia" w:ascii="仿宋_GB2312" w:hAnsi="仿宋" w:eastAsiaTheme="minorEastAsia"/>
          <w:sz w:val="28"/>
          <w:szCs w:val="28"/>
        </w:rPr>
        <w:t>32</w:t>
      </w:r>
      <w:r>
        <w:rPr>
          <w:rFonts w:ascii="仿宋_GB2312" w:hAnsi="仿宋" w:eastAsia="仿宋_GB2312"/>
          <w:sz w:val="28"/>
          <w:szCs w:val="28"/>
        </w:rPr>
        <w:t>″～3</w:t>
      </w:r>
      <w:r>
        <w:rPr>
          <w:rFonts w:hint="eastAsia" w:ascii="仿宋_GB2312" w:hAnsi="仿宋" w:eastAsiaTheme="minorEastAsia"/>
          <w:sz w:val="28"/>
          <w:szCs w:val="28"/>
        </w:rPr>
        <w:t>6</w:t>
      </w:r>
      <w:r>
        <w:rPr>
          <w:rFonts w:ascii="仿宋_GB2312" w:hAnsi="仿宋" w:eastAsia="仿宋_GB2312"/>
          <w:sz w:val="28"/>
          <w:szCs w:val="28"/>
        </w:rPr>
        <w:t>°</w:t>
      </w:r>
      <w:r>
        <w:rPr>
          <w:rFonts w:hint="eastAsia" w:ascii="仿宋_GB2312" w:hAnsi="仿宋" w:eastAsiaTheme="minorEastAsia"/>
          <w:sz w:val="28"/>
          <w:szCs w:val="28"/>
        </w:rPr>
        <w:t>29</w:t>
      </w:r>
      <w:r>
        <w:rPr>
          <w:rFonts w:ascii="仿宋_GB2312" w:hAnsi="仿宋" w:eastAsia="仿宋_GB2312"/>
          <w:sz w:val="28"/>
          <w:szCs w:val="28"/>
        </w:rPr>
        <w:t>′</w:t>
      </w:r>
      <w:r>
        <w:rPr>
          <w:rFonts w:hint="eastAsia" w:ascii="仿宋_GB2312" w:hAnsi="仿宋" w:eastAsiaTheme="minorEastAsia"/>
          <w:sz w:val="28"/>
          <w:szCs w:val="28"/>
        </w:rPr>
        <w:t>42</w:t>
      </w:r>
      <w:r>
        <w:rPr>
          <w:rFonts w:ascii="仿宋_GB2312" w:hAnsi="仿宋" w:eastAsia="仿宋_GB2312"/>
          <w:sz w:val="28"/>
          <w:szCs w:val="28"/>
        </w:rPr>
        <w:t>″。</w:t>
      </w:r>
    </w:p>
    <w:p>
      <w:pPr>
        <w:autoSpaceDE w:val="0"/>
        <w:adjustRightInd w:val="0"/>
        <w:snapToGrid w:val="0"/>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襄垣—原庄县级公路从矿区西南1km处通过，矿区有乡村水泥路与之相通；交通便利。</w:t>
      </w:r>
    </w:p>
    <w:p>
      <w:pPr>
        <w:autoSpaceDE w:val="0"/>
        <w:adjustRightInd w:val="0"/>
        <w:snapToGrid w:val="0"/>
        <w:spacing w:line="490" w:lineRule="exact"/>
        <w:ind w:firstLine="560" w:firstLineChars="200"/>
        <w:rPr>
          <w:rFonts w:ascii="仿宋_GB2312" w:hAnsi="仿宋" w:eastAsia="仿宋_GB2312"/>
          <w:sz w:val="28"/>
          <w:szCs w:val="28"/>
        </w:rPr>
      </w:pPr>
      <w:r>
        <w:rPr>
          <w:rFonts w:ascii="仿宋_GB2312" w:hAnsi="仿宋" w:eastAsia="仿宋_GB2312"/>
          <w:sz w:val="28"/>
          <w:szCs w:val="28"/>
        </w:rPr>
        <w:t>该矿</w:t>
      </w:r>
      <w:r>
        <w:rPr>
          <w:rFonts w:hint="eastAsia" w:ascii="仿宋_GB2312" w:hAnsi="仿宋" w:eastAsia="仿宋_GB2312"/>
          <w:sz w:val="28"/>
          <w:szCs w:val="28"/>
        </w:rPr>
        <w:t>山</w:t>
      </w:r>
      <w:r>
        <w:rPr>
          <w:rFonts w:ascii="仿宋_GB2312" w:hAnsi="仿宋" w:eastAsia="仿宋_GB2312"/>
          <w:sz w:val="28"/>
          <w:szCs w:val="28"/>
        </w:rPr>
        <w:t>现持有</w:t>
      </w:r>
      <w:r>
        <w:rPr>
          <w:rFonts w:hint="eastAsia" w:ascii="仿宋_GB2312" w:hAnsi="仿宋" w:eastAsia="仿宋_GB2312"/>
          <w:sz w:val="28"/>
          <w:szCs w:val="28"/>
        </w:rPr>
        <w:t>原</w:t>
      </w:r>
      <w:r>
        <w:rPr>
          <w:rFonts w:ascii="仿宋_GB2312" w:hAnsi="仿宋" w:eastAsia="仿宋_GB2312"/>
          <w:sz w:val="28"/>
          <w:szCs w:val="28"/>
        </w:rPr>
        <w:t>长治市国土资源局于201</w:t>
      </w:r>
      <w:r>
        <w:rPr>
          <w:rFonts w:hint="eastAsia" w:ascii="仿宋_GB2312" w:hAnsi="仿宋" w:eastAsiaTheme="minorEastAsia"/>
          <w:sz w:val="28"/>
          <w:szCs w:val="28"/>
        </w:rPr>
        <w:t>8</w:t>
      </w:r>
      <w:r>
        <w:rPr>
          <w:rFonts w:ascii="仿宋_GB2312" w:hAnsi="仿宋" w:eastAsia="仿宋_GB2312"/>
          <w:sz w:val="28"/>
          <w:szCs w:val="28"/>
        </w:rPr>
        <w:t>年</w:t>
      </w:r>
      <w:r>
        <w:rPr>
          <w:rFonts w:hint="eastAsia" w:ascii="仿宋_GB2312" w:hAnsi="仿宋" w:eastAsiaTheme="minorEastAsia"/>
          <w:sz w:val="28"/>
          <w:szCs w:val="28"/>
        </w:rPr>
        <w:t>6</w:t>
      </w:r>
      <w:r>
        <w:rPr>
          <w:rFonts w:ascii="仿宋_GB2312" w:hAnsi="仿宋" w:eastAsia="仿宋_GB2312"/>
          <w:sz w:val="28"/>
          <w:szCs w:val="28"/>
        </w:rPr>
        <w:t>月</w:t>
      </w:r>
      <w:r>
        <w:rPr>
          <w:rFonts w:hint="eastAsia" w:ascii="仿宋_GB2312" w:hAnsi="仿宋" w:eastAsia="仿宋_GB2312"/>
          <w:sz w:val="28"/>
          <w:szCs w:val="28"/>
        </w:rPr>
        <w:t>14</w:t>
      </w:r>
      <w:r>
        <w:rPr>
          <w:rFonts w:ascii="仿宋_GB2312" w:hAnsi="仿宋" w:eastAsia="仿宋_GB2312"/>
          <w:sz w:val="28"/>
          <w:szCs w:val="28"/>
        </w:rPr>
        <w:t>日</w:t>
      </w:r>
      <w:r>
        <w:rPr>
          <w:rFonts w:hint="eastAsia" w:ascii="仿宋_GB2312" w:hAnsi="仿宋" w:eastAsia="仿宋_GB2312"/>
          <w:sz w:val="28"/>
          <w:szCs w:val="28"/>
        </w:rPr>
        <w:t>为其</w:t>
      </w:r>
      <w:r>
        <w:rPr>
          <w:rFonts w:ascii="仿宋_GB2312" w:hAnsi="仿宋" w:eastAsia="仿宋_GB2312"/>
          <w:sz w:val="28"/>
          <w:szCs w:val="28"/>
        </w:rPr>
        <w:t>换发的C1404002</w:t>
      </w:r>
      <w:r>
        <w:rPr>
          <w:rFonts w:hint="eastAsia" w:ascii="仿宋_GB2312" w:hAnsi="仿宋" w:eastAsiaTheme="minorEastAsia"/>
          <w:sz w:val="28"/>
          <w:szCs w:val="28"/>
        </w:rPr>
        <w:t>011046130112726</w:t>
      </w:r>
      <w:r>
        <w:rPr>
          <w:rFonts w:ascii="仿宋_GB2312" w:hAnsi="仿宋" w:eastAsia="仿宋_GB2312"/>
          <w:sz w:val="28"/>
          <w:szCs w:val="28"/>
        </w:rPr>
        <w:t>号《采矿许可证》，有效期限自201</w:t>
      </w:r>
      <w:r>
        <w:rPr>
          <w:rFonts w:hint="eastAsia" w:ascii="仿宋_GB2312" w:hAnsi="仿宋" w:eastAsia="仿宋_GB2312"/>
          <w:sz w:val="28"/>
          <w:szCs w:val="28"/>
        </w:rPr>
        <w:t>8</w:t>
      </w:r>
      <w:r>
        <w:rPr>
          <w:rFonts w:ascii="仿宋_GB2312" w:hAnsi="仿宋" w:eastAsia="仿宋_GB2312"/>
          <w:sz w:val="28"/>
          <w:szCs w:val="28"/>
        </w:rPr>
        <w:t>年</w:t>
      </w:r>
      <w:r>
        <w:rPr>
          <w:rFonts w:hint="eastAsia" w:ascii="仿宋_GB2312" w:hAnsi="仿宋" w:eastAsia="仿宋_GB2312"/>
          <w:sz w:val="28"/>
          <w:szCs w:val="28"/>
        </w:rPr>
        <w:t>4</w:t>
      </w:r>
      <w:r>
        <w:rPr>
          <w:rFonts w:ascii="仿宋_GB2312" w:hAnsi="仿宋" w:eastAsia="仿宋_GB2312"/>
          <w:sz w:val="28"/>
          <w:szCs w:val="28"/>
        </w:rPr>
        <w:t>月</w:t>
      </w:r>
      <w:r>
        <w:rPr>
          <w:rFonts w:hint="eastAsia" w:ascii="仿宋_GB2312" w:hAnsi="仿宋" w:eastAsia="仿宋_GB2312"/>
          <w:sz w:val="28"/>
          <w:szCs w:val="28"/>
        </w:rPr>
        <w:t>20</w:t>
      </w:r>
      <w:r>
        <w:rPr>
          <w:rFonts w:ascii="仿宋_GB2312" w:hAnsi="仿宋" w:eastAsia="仿宋_GB2312"/>
          <w:sz w:val="28"/>
          <w:szCs w:val="28"/>
        </w:rPr>
        <w:t>日至20</w:t>
      </w:r>
      <w:r>
        <w:rPr>
          <w:rFonts w:hint="eastAsia" w:ascii="仿宋_GB2312" w:hAnsi="仿宋" w:eastAsia="仿宋_GB2312"/>
          <w:sz w:val="28"/>
          <w:szCs w:val="28"/>
        </w:rPr>
        <w:t>20</w:t>
      </w:r>
      <w:r>
        <w:rPr>
          <w:rFonts w:ascii="仿宋_GB2312" w:hAnsi="仿宋" w:eastAsia="仿宋_GB2312"/>
          <w:sz w:val="28"/>
          <w:szCs w:val="28"/>
        </w:rPr>
        <w:t>年</w:t>
      </w:r>
      <w:r>
        <w:rPr>
          <w:rFonts w:hint="eastAsia" w:ascii="仿宋_GB2312" w:hAnsi="仿宋" w:eastAsia="仿宋_GB2312"/>
          <w:sz w:val="28"/>
          <w:szCs w:val="28"/>
        </w:rPr>
        <w:t>4</w:t>
      </w:r>
      <w:r>
        <w:rPr>
          <w:rFonts w:ascii="仿宋_GB2312" w:hAnsi="仿宋" w:eastAsia="仿宋_GB2312"/>
          <w:sz w:val="28"/>
          <w:szCs w:val="28"/>
        </w:rPr>
        <w:t>月</w:t>
      </w:r>
      <w:r>
        <w:rPr>
          <w:rFonts w:hint="eastAsia" w:ascii="仿宋_GB2312" w:hAnsi="仿宋" w:eastAsia="仿宋_GB2312"/>
          <w:sz w:val="28"/>
          <w:szCs w:val="28"/>
        </w:rPr>
        <w:t>20</w:t>
      </w:r>
      <w:r>
        <w:rPr>
          <w:rFonts w:ascii="仿宋_GB2312" w:hAnsi="仿宋" w:eastAsia="仿宋_GB2312"/>
          <w:sz w:val="28"/>
          <w:szCs w:val="28"/>
        </w:rPr>
        <w:t>日，采矿权人为</w:t>
      </w:r>
      <w:r>
        <w:rPr>
          <w:rFonts w:hint="eastAsia" w:ascii="仿宋_GB2312" w:hAnsi="仿宋" w:eastAsia="仿宋_GB2312"/>
          <w:sz w:val="28"/>
          <w:szCs w:val="28"/>
        </w:rPr>
        <w:t>首钢长治钢铁有限公司</w:t>
      </w:r>
      <w:r>
        <w:rPr>
          <w:rFonts w:ascii="仿宋_GB2312" w:hAnsi="仿宋" w:eastAsia="仿宋_GB2312"/>
          <w:sz w:val="28"/>
          <w:szCs w:val="28"/>
        </w:rPr>
        <w:t>，矿山名称为</w:t>
      </w:r>
      <w:r>
        <w:rPr>
          <w:rFonts w:hint="eastAsia" w:ascii="仿宋_GB2312" w:hAnsi="仿宋" w:eastAsia="仿宋_GB2312"/>
          <w:sz w:val="28"/>
          <w:szCs w:val="28"/>
        </w:rPr>
        <w:t>首钢长治钢铁有限公司襄垣熔剂分公司</w:t>
      </w:r>
      <w:r>
        <w:rPr>
          <w:rFonts w:ascii="仿宋_GB2312" w:hAnsi="仿宋" w:eastAsia="仿宋_GB2312"/>
          <w:sz w:val="28"/>
          <w:szCs w:val="28"/>
        </w:rPr>
        <w:t>，经济类型为</w:t>
      </w:r>
      <w:r>
        <w:rPr>
          <w:rFonts w:hint="eastAsia" w:ascii="仿宋_GB2312" w:hAnsi="仿宋" w:eastAsia="仿宋_GB2312"/>
          <w:sz w:val="28"/>
          <w:szCs w:val="28"/>
        </w:rPr>
        <w:t>国有企业</w:t>
      </w:r>
      <w:r>
        <w:rPr>
          <w:rFonts w:ascii="仿宋_GB2312" w:hAnsi="仿宋" w:eastAsia="仿宋_GB2312"/>
          <w:sz w:val="28"/>
          <w:szCs w:val="28"/>
        </w:rPr>
        <w:t>，开采矿种为</w:t>
      </w:r>
      <w:r>
        <w:rPr>
          <w:rFonts w:hint="eastAsia" w:ascii="仿宋_GB2312" w:hAnsi="仿宋" w:eastAsia="仿宋_GB2312"/>
          <w:sz w:val="28"/>
          <w:szCs w:val="28"/>
        </w:rPr>
        <w:t>熔剂用石</w:t>
      </w:r>
      <w:r>
        <w:rPr>
          <w:rFonts w:ascii="仿宋_GB2312" w:hAnsi="仿宋" w:eastAsia="仿宋_GB2312"/>
          <w:sz w:val="28"/>
          <w:szCs w:val="28"/>
        </w:rPr>
        <w:t>灰岩</w:t>
      </w:r>
      <w:r>
        <w:rPr>
          <w:rFonts w:hint="eastAsia" w:ascii="仿宋_GB2312" w:hAnsi="仿宋" w:eastAsia="仿宋_GB2312"/>
          <w:sz w:val="28"/>
          <w:szCs w:val="28"/>
        </w:rPr>
        <w:t>矿</w:t>
      </w:r>
      <w:r>
        <w:rPr>
          <w:rFonts w:ascii="仿宋_GB2312" w:hAnsi="仿宋" w:eastAsia="仿宋_GB2312"/>
          <w:sz w:val="28"/>
          <w:szCs w:val="28"/>
        </w:rPr>
        <w:t>，开采方式为露天开采；生产规模</w:t>
      </w:r>
      <w:r>
        <w:rPr>
          <w:rFonts w:hint="eastAsia" w:ascii="仿宋_GB2312" w:hAnsi="仿宋" w:eastAsia="仿宋_GB2312"/>
          <w:sz w:val="28"/>
          <w:szCs w:val="28"/>
        </w:rPr>
        <w:t>45</w:t>
      </w:r>
      <w:r>
        <w:rPr>
          <w:rFonts w:ascii="仿宋_GB2312" w:hAnsi="仿宋" w:eastAsia="仿宋_GB2312"/>
          <w:sz w:val="28"/>
          <w:szCs w:val="28"/>
        </w:rPr>
        <w:t>.00万吨/年，矿区面积0.</w:t>
      </w:r>
      <w:r>
        <w:rPr>
          <w:rFonts w:hint="eastAsia" w:ascii="仿宋_GB2312" w:hAnsi="仿宋" w:eastAsiaTheme="minorEastAsia"/>
          <w:sz w:val="28"/>
          <w:szCs w:val="28"/>
        </w:rPr>
        <w:t>0848</w:t>
      </w:r>
      <w:r>
        <w:rPr>
          <w:rFonts w:ascii="仿宋_GB2312" w:hAnsi="仿宋" w:eastAsia="仿宋_GB2312"/>
          <w:sz w:val="28"/>
          <w:szCs w:val="28"/>
        </w:rPr>
        <w:t>km</w:t>
      </w:r>
      <w:r>
        <w:rPr>
          <w:rFonts w:ascii="仿宋_GB2312" w:hAnsi="仿宋" w:eastAsia="仿宋_GB2312"/>
          <w:sz w:val="28"/>
          <w:szCs w:val="28"/>
          <w:vertAlign w:val="superscript"/>
        </w:rPr>
        <w:t>2</w:t>
      </w:r>
      <w:r>
        <w:rPr>
          <w:rFonts w:ascii="仿宋_GB2312" w:hAnsi="仿宋" w:eastAsia="仿宋_GB2312"/>
          <w:sz w:val="28"/>
          <w:szCs w:val="28"/>
        </w:rPr>
        <w:t>，开采深度为</w:t>
      </w:r>
      <w:r>
        <w:rPr>
          <w:rFonts w:hint="eastAsia" w:ascii="仿宋_GB2312" w:hAnsi="仿宋" w:eastAsia="仿宋_GB2312"/>
          <w:sz w:val="28"/>
          <w:szCs w:val="28"/>
        </w:rPr>
        <w:t>+</w:t>
      </w:r>
      <w:r>
        <w:rPr>
          <w:rFonts w:hint="eastAsia" w:ascii="仿宋_GB2312" w:hAnsi="仿宋" w:eastAsiaTheme="minorEastAsia"/>
          <w:sz w:val="28"/>
          <w:szCs w:val="28"/>
        </w:rPr>
        <w:t>1140</w:t>
      </w:r>
      <w:r>
        <w:rPr>
          <w:rFonts w:ascii="仿宋_GB2312" w:hAnsi="仿宋" w:eastAsia="仿宋_GB2312"/>
          <w:sz w:val="28"/>
          <w:szCs w:val="28"/>
        </w:rPr>
        <w:t>～</w:t>
      </w:r>
      <w:r>
        <w:rPr>
          <w:rFonts w:hint="eastAsia" w:ascii="仿宋_GB2312" w:hAnsi="仿宋" w:eastAsia="仿宋_GB2312"/>
          <w:sz w:val="28"/>
          <w:szCs w:val="28"/>
        </w:rPr>
        <w:t>+1010</w:t>
      </w:r>
      <w:r>
        <w:rPr>
          <w:rFonts w:ascii="仿宋_GB2312" w:hAnsi="仿宋" w:eastAsia="仿宋_GB2312"/>
          <w:sz w:val="28"/>
          <w:szCs w:val="28"/>
        </w:rPr>
        <w:t>m标高</w:t>
      </w:r>
      <w:r>
        <w:rPr>
          <w:rFonts w:hint="eastAsia" w:ascii="仿宋_GB2312" w:hAnsi="仿宋" w:eastAsia="仿宋_GB2312"/>
          <w:sz w:val="28"/>
          <w:szCs w:val="28"/>
        </w:rPr>
        <w:t>，</w:t>
      </w:r>
      <w:r>
        <w:rPr>
          <w:rFonts w:ascii="仿宋_GB2312" w:hAnsi="仿宋" w:eastAsia="仿宋_GB2312"/>
          <w:sz w:val="28"/>
          <w:szCs w:val="28"/>
        </w:rPr>
        <w:t>矿区范围由以下</w:t>
      </w:r>
      <w:r>
        <w:rPr>
          <w:rFonts w:hint="eastAsia" w:ascii="仿宋_GB2312" w:hAnsi="仿宋" w:eastAsiaTheme="minorEastAsia"/>
          <w:sz w:val="28"/>
          <w:szCs w:val="28"/>
        </w:rPr>
        <w:t>4</w:t>
      </w:r>
      <w:r>
        <w:rPr>
          <w:rFonts w:ascii="仿宋_GB2312" w:hAnsi="仿宋" w:eastAsia="仿宋_GB2312"/>
          <w:sz w:val="28"/>
          <w:szCs w:val="28"/>
        </w:rPr>
        <w:t>个拐点坐标圈定：</w:t>
      </w:r>
    </w:p>
    <w:p>
      <w:pPr>
        <w:autoSpaceDE w:val="0"/>
        <w:adjustRightInd w:val="0"/>
        <w:snapToGrid w:val="0"/>
        <w:spacing w:line="480" w:lineRule="exact"/>
        <w:jc w:val="center"/>
        <w:rPr>
          <w:rFonts w:ascii="仿宋_GB2312" w:hAnsi="仿宋" w:eastAsia="仿宋_GB2312"/>
          <w:spacing w:val="-20"/>
          <w:sz w:val="28"/>
          <w:szCs w:val="28"/>
        </w:rPr>
      </w:pPr>
      <w:r>
        <w:rPr>
          <w:rFonts w:hint="eastAsia" w:ascii="仿宋_GB2312" w:hAnsi="仿宋" w:eastAsia="仿宋_GB2312"/>
          <w:spacing w:val="-20"/>
          <w:sz w:val="28"/>
          <w:szCs w:val="28"/>
        </w:rPr>
        <w:t>首钢长治钢铁有限公司襄垣熔剂分公司熔剂用石灰岩</w:t>
      </w:r>
      <w:r>
        <w:rPr>
          <w:rFonts w:ascii="仿宋_GB2312" w:hAnsi="仿宋" w:eastAsia="仿宋_GB2312"/>
          <w:spacing w:val="-20"/>
          <w:sz w:val="28"/>
          <w:szCs w:val="28"/>
        </w:rPr>
        <w:t>矿区范围拐点坐标一览表</w:t>
      </w:r>
    </w:p>
    <w:tbl>
      <w:tblPr>
        <w:tblStyle w:val="5"/>
        <w:tblW w:w="8865" w:type="dxa"/>
        <w:jc w:val="center"/>
        <w:tblLayout w:type="fixed"/>
        <w:tblCellMar>
          <w:top w:w="0" w:type="dxa"/>
          <w:left w:w="0" w:type="dxa"/>
          <w:bottom w:w="0" w:type="dxa"/>
          <w:right w:w="0" w:type="dxa"/>
        </w:tblCellMar>
      </w:tblPr>
      <w:tblGrid>
        <w:gridCol w:w="785"/>
        <w:gridCol w:w="1701"/>
        <w:gridCol w:w="1843"/>
        <w:gridCol w:w="708"/>
        <w:gridCol w:w="1843"/>
        <w:gridCol w:w="1985"/>
      </w:tblGrid>
      <w:tr>
        <w:tblPrEx>
          <w:tblCellMar>
            <w:top w:w="0" w:type="dxa"/>
            <w:left w:w="0" w:type="dxa"/>
            <w:bottom w:w="0" w:type="dxa"/>
            <w:right w:w="0" w:type="dxa"/>
          </w:tblCellMar>
        </w:tblPrEx>
        <w:trPr>
          <w:trHeight w:val="340" w:hRule="exact"/>
          <w:jc w:val="center"/>
        </w:trPr>
        <w:tc>
          <w:tcPr>
            <w:tcW w:w="785" w:type="dxa"/>
            <w:vMerge w:val="restart"/>
            <w:tcBorders>
              <w:top w:val="single" w:color="auto" w:sz="8" w:space="0"/>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320" w:lineRule="exact"/>
              <w:jc w:val="center"/>
              <w:rPr>
                <w:rFonts w:ascii="仿宋_GB2312" w:hAnsi="仿宋"/>
                <w:sz w:val="24"/>
                <w:szCs w:val="24"/>
              </w:rPr>
            </w:pPr>
            <w:r>
              <w:rPr>
                <w:rFonts w:hint="eastAsia" w:ascii="仿宋_GB2312" w:hAnsi="仿宋" w:eastAsia="仿宋_GB2312"/>
                <w:sz w:val="24"/>
                <w:szCs w:val="24"/>
              </w:rPr>
              <w:t>拐点编号</w:t>
            </w:r>
          </w:p>
        </w:tc>
        <w:tc>
          <w:tcPr>
            <w:tcW w:w="3544" w:type="dxa"/>
            <w:gridSpan w:val="2"/>
            <w:tcBorders>
              <w:top w:val="single" w:color="auto" w:sz="8" w:space="0"/>
              <w:left w:val="nil"/>
              <w:bottom w:val="single" w:color="auto" w:sz="4" w:space="0"/>
              <w:right w:val="single" w:color="auto" w:sz="4" w:space="0"/>
            </w:tcBorders>
            <w:tcMar>
              <w:top w:w="57" w:type="dxa"/>
              <w:left w:w="85" w:type="dxa"/>
              <w:bottom w:w="57" w:type="dxa"/>
              <w:right w:w="85" w:type="dxa"/>
            </w:tcMar>
            <w:vAlign w:val="center"/>
          </w:tcPr>
          <w:p>
            <w:pPr>
              <w:spacing w:line="300" w:lineRule="exact"/>
              <w:jc w:val="center"/>
            </w:pPr>
            <w:r>
              <w:rPr>
                <w:rFonts w:hint="eastAsia" w:ascii="仿宋_GB2312" w:hAnsi="仿宋" w:eastAsia="仿宋_GB2312"/>
                <w:sz w:val="24"/>
                <w:szCs w:val="24"/>
              </w:rPr>
              <w:t>1980西安坐标系（3°带）</w:t>
            </w:r>
          </w:p>
        </w:tc>
        <w:tc>
          <w:tcPr>
            <w:tcW w:w="708" w:type="dxa"/>
            <w:vMerge w:val="restart"/>
            <w:tcBorders>
              <w:top w:val="single" w:color="auto" w:sz="8" w:space="0"/>
              <w:left w:val="nil"/>
              <w:right w:val="single" w:color="auto" w:sz="4" w:space="0"/>
            </w:tcBorders>
            <w:vAlign w:val="center"/>
          </w:tcPr>
          <w:p>
            <w:pPr>
              <w:spacing w:line="300" w:lineRule="exact"/>
              <w:jc w:val="center"/>
            </w:pPr>
            <w:r>
              <w:rPr>
                <w:rFonts w:hint="eastAsia" w:ascii="仿宋_GB2312" w:hAnsi="仿宋" w:eastAsia="仿宋_GB2312"/>
                <w:sz w:val="24"/>
                <w:szCs w:val="24"/>
              </w:rPr>
              <w:t>拐点编号</w:t>
            </w:r>
          </w:p>
        </w:tc>
        <w:tc>
          <w:tcPr>
            <w:tcW w:w="3828" w:type="dxa"/>
            <w:gridSpan w:val="2"/>
            <w:tcBorders>
              <w:top w:val="single" w:color="auto" w:sz="8" w:space="0"/>
              <w:left w:val="nil"/>
              <w:bottom w:val="single" w:color="auto" w:sz="4" w:space="0"/>
              <w:right w:val="single" w:color="auto" w:sz="4" w:space="0"/>
            </w:tcBorders>
            <w:vAlign w:val="center"/>
          </w:tcPr>
          <w:p>
            <w:pPr>
              <w:spacing w:line="300" w:lineRule="exact"/>
              <w:jc w:val="center"/>
            </w:pPr>
            <w:r>
              <w:rPr>
                <w:rFonts w:hint="eastAsia" w:ascii="仿宋_GB2312" w:hAnsi="仿宋" w:eastAsia="仿宋_GB2312"/>
                <w:sz w:val="24"/>
                <w:szCs w:val="24"/>
              </w:rPr>
              <w:t>CGCS2000大地坐标系（3°带）</w:t>
            </w:r>
          </w:p>
        </w:tc>
      </w:tr>
      <w:tr>
        <w:tblPrEx>
          <w:tblCellMar>
            <w:top w:w="0" w:type="dxa"/>
            <w:left w:w="0" w:type="dxa"/>
            <w:bottom w:w="0" w:type="dxa"/>
            <w:right w:w="0" w:type="dxa"/>
          </w:tblCellMar>
        </w:tblPrEx>
        <w:trPr>
          <w:trHeight w:val="340" w:hRule="exact"/>
          <w:jc w:val="center"/>
        </w:trPr>
        <w:tc>
          <w:tcPr>
            <w:tcW w:w="785" w:type="dxa"/>
            <w:vMerge w:val="continue"/>
            <w:tcBorders>
              <w:top w:val="single" w:color="auto" w:sz="8" w:space="0"/>
              <w:left w:val="single" w:color="auto" w:sz="8" w:space="0"/>
              <w:bottom w:val="single" w:color="auto" w:sz="4" w:space="0"/>
              <w:right w:val="single" w:color="auto" w:sz="4" w:space="0"/>
            </w:tcBorders>
            <w:vAlign w:val="center"/>
          </w:tcPr>
          <w:p>
            <w:pPr>
              <w:widowControl/>
              <w:jc w:val="left"/>
              <w:rPr>
                <w:rFonts w:ascii="仿宋_GB2312" w:hAnsi="仿宋"/>
                <w:sz w:val="24"/>
                <w:szCs w:val="24"/>
              </w:rPr>
            </w:pPr>
          </w:p>
        </w:tc>
        <w:tc>
          <w:tcPr>
            <w:tcW w:w="1701"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纵坐标X（m）</w:t>
            </w: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横坐标Y（m）</w:t>
            </w:r>
          </w:p>
        </w:tc>
        <w:tc>
          <w:tcPr>
            <w:tcW w:w="708" w:type="dxa"/>
            <w:vMerge w:val="continue"/>
            <w:tcBorders>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纵坐标X（m）</w:t>
            </w:r>
          </w:p>
        </w:tc>
        <w:tc>
          <w:tcPr>
            <w:tcW w:w="1985"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横坐标Y（m）</w:t>
            </w:r>
          </w:p>
        </w:tc>
      </w:tr>
      <w:tr>
        <w:tblPrEx>
          <w:tblCellMar>
            <w:top w:w="0" w:type="dxa"/>
            <w:left w:w="0" w:type="dxa"/>
            <w:bottom w:w="0" w:type="dxa"/>
            <w:right w:w="0" w:type="dxa"/>
          </w:tblCellMar>
        </w:tblPrEx>
        <w:trPr>
          <w:trHeight w:val="340" w:hRule="exact"/>
          <w:jc w:val="center"/>
        </w:trPr>
        <w:tc>
          <w:tcPr>
            <w:tcW w:w="785"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1701"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4040522.75</w:t>
            </w: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38425490.11</w:t>
            </w:r>
          </w:p>
        </w:tc>
        <w:tc>
          <w:tcPr>
            <w:tcW w:w="708"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1</w:t>
            </w: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4040524.165</w:t>
            </w:r>
          </w:p>
        </w:tc>
        <w:tc>
          <w:tcPr>
            <w:tcW w:w="1985"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38425606.374</w:t>
            </w:r>
          </w:p>
        </w:tc>
      </w:tr>
      <w:tr>
        <w:tblPrEx>
          <w:tblCellMar>
            <w:top w:w="0" w:type="dxa"/>
            <w:left w:w="0" w:type="dxa"/>
            <w:bottom w:w="0" w:type="dxa"/>
            <w:right w:w="0" w:type="dxa"/>
          </w:tblCellMar>
        </w:tblPrEx>
        <w:trPr>
          <w:trHeight w:val="340" w:hRule="exact"/>
          <w:jc w:val="center"/>
        </w:trPr>
        <w:tc>
          <w:tcPr>
            <w:tcW w:w="785"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2</w:t>
            </w:r>
          </w:p>
        </w:tc>
        <w:tc>
          <w:tcPr>
            <w:tcW w:w="1701"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4040592.76</w:t>
            </w: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38425769.21</w:t>
            </w:r>
          </w:p>
        </w:tc>
        <w:tc>
          <w:tcPr>
            <w:tcW w:w="708"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2</w:t>
            </w: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4040594.176</w:t>
            </w:r>
          </w:p>
        </w:tc>
        <w:tc>
          <w:tcPr>
            <w:tcW w:w="1985"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38425885.481</w:t>
            </w:r>
          </w:p>
        </w:tc>
      </w:tr>
      <w:tr>
        <w:tblPrEx>
          <w:tblCellMar>
            <w:top w:w="0" w:type="dxa"/>
            <w:left w:w="0" w:type="dxa"/>
            <w:bottom w:w="0" w:type="dxa"/>
            <w:right w:w="0" w:type="dxa"/>
          </w:tblCellMar>
        </w:tblPrEx>
        <w:trPr>
          <w:trHeight w:val="340" w:hRule="exact"/>
          <w:jc w:val="center"/>
        </w:trPr>
        <w:tc>
          <w:tcPr>
            <w:tcW w:w="785"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w:t>
            </w:r>
          </w:p>
        </w:tc>
        <w:tc>
          <w:tcPr>
            <w:tcW w:w="1701"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4040942.48</w:t>
            </w: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38425699.10</w:t>
            </w:r>
          </w:p>
        </w:tc>
        <w:tc>
          <w:tcPr>
            <w:tcW w:w="708"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w:t>
            </w: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4040943.892</w:t>
            </w:r>
          </w:p>
        </w:tc>
        <w:tc>
          <w:tcPr>
            <w:tcW w:w="1985"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38425815.369</w:t>
            </w:r>
          </w:p>
        </w:tc>
      </w:tr>
      <w:tr>
        <w:tblPrEx>
          <w:tblCellMar>
            <w:top w:w="0" w:type="dxa"/>
            <w:left w:w="0" w:type="dxa"/>
            <w:bottom w:w="0" w:type="dxa"/>
            <w:right w:w="0" w:type="dxa"/>
          </w:tblCellMar>
        </w:tblPrEx>
        <w:trPr>
          <w:trHeight w:val="340" w:hRule="exact"/>
          <w:jc w:val="center"/>
        </w:trPr>
        <w:tc>
          <w:tcPr>
            <w:tcW w:w="785" w:type="dxa"/>
            <w:tcBorders>
              <w:top w:val="nil"/>
              <w:left w:val="single" w:color="auto" w:sz="8" w:space="0"/>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w:t>
            </w:r>
          </w:p>
        </w:tc>
        <w:tc>
          <w:tcPr>
            <w:tcW w:w="1701" w:type="dxa"/>
            <w:tcBorders>
              <w:top w:val="nil"/>
              <w:left w:val="nil"/>
              <w:bottom w:val="single" w:color="auto" w:sz="4" w:space="0"/>
              <w:right w:val="single" w:color="auto" w:sz="4" w:space="0"/>
            </w:tcBorders>
            <w:tcMar>
              <w:top w:w="57" w:type="dxa"/>
              <w:left w:w="85" w:type="dxa"/>
              <w:bottom w:w="57" w:type="dxa"/>
              <w:right w:w="85" w:type="dxa"/>
            </w:tcMar>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4040833.15</w:t>
            </w: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38425484.68</w:t>
            </w:r>
          </w:p>
        </w:tc>
        <w:tc>
          <w:tcPr>
            <w:tcW w:w="708"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w:t>
            </w:r>
          </w:p>
        </w:tc>
        <w:tc>
          <w:tcPr>
            <w:tcW w:w="1843"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4040834.562</w:t>
            </w:r>
          </w:p>
        </w:tc>
        <w:tc>
          <w:tcPr>
            <w:tcW w:w="1985" w:type="dxa"/>
            <w:tcBorders>
              <w:top w:val="nil"/>
              <w:left w:val="nil"/>
              <w:bottom w:val="single" w:color="auto" w:sz="4" w:space="0"/>
              <w:right w:val="single" w:color="auto" w:sz="4" w:space="0"/>
            </w:tcBorders>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38425600.942</w:t>
            </w:r>
          </w:p>
        </w:tc>
      </w:tr>
    </w:tbl>
    <w:p>
      <w:pPr>
        <w:adjustRightInd w:val="0"/>
        <w:snapToGrid w:val="0"/>
        <w:spacing w:beforeLines="150" w:line="360" w:lineRule="auto"/>
        <w:ind w:firstLine="602" w:firstLineChars="200"/>
        <w:outlineLvl w:val="0"/>
        <w:rPr>
          <w:rFonts w:ascii="楷体_GB2312" w:eastAsia="楷体_GB2312"/>
          <w:b/>
          <w:bCs/>
          <w:sz w:val="30"/>
          <w:szCs w:val="30"/>
        </w:rPr>
      </w:pPr>
      <w:r>
        <w:rPr>
          <w:rFonts w:ascii="楷体_GB2312" w:eastAsia="楷体_GB2312"/>
          <w:b/>
          <w:bCs/>
          <w:sz w:val="30"/>
          <w:szCs w:val="30"/>
        </w:rPr>
        <w:t>二、方案简介</w:t>
      </w:r>
    </w:p>
    <w:p>
      <w:pPr>
        <w:spacing w:line="490" w:lineRule="exact"/>
        <w:ind w:firstLine="562" w:firstLineChars="200"/>
        <w:rPr>
          <w:rFonts w:ascii="仿宋_GB2312" w:hAnsi="仿宋" w:eastAsia="仿宋_GB2312"/>
          <w:b/>
          <w:sz w:val="28"/>
          <w:szCs w:val="28"/>
        </w:rPr>
      </w:pPr>
      <w:r>
        <w:rPr>
          <w:rFonts w:ascii="仿宋_GB2312" w:hAnsi="仿宋" w:eastAsia="仿宋_GB2312"/>
          <w:b/>
          <w:sz w:val="28"/>
          <w:szCs w:val="28"/>
        </w:rPr>
        <w:t>1</w:t>
      </w:r>
      <w:r>
        <w:rPr>
          <w:rFonts w:hint="eastAsia" w:ascii="仿宋_GB2312" w:hAnsi="仿宋" w:eastAsia="仿宋_GB2312"/>
          <w:b/>
          <w:sz w:val="28"/>
          <w:szCs w:val="28"/>
        </w:rPr>
        <w:t>、矿产资源及其利用情况</w:t>
      </w:r>
    </w:p>
    <w:p>
      <w:pPr>
        <w:spacing w:line="480" w:lineRule="exact"/>
        <w:ind w:firstLine="560" w:firstLineChars="200"/>
        <w:rPr>
          <w:rFonts w:ascii="仿宋_GB2312" w:hAnsi="仿宋" w:eastAsia="仿宋_GB2312"/>
          <w:sz w:val="28"/>
          <w:szCs w:val="28"/>
        </w:rPr>
      </w:pPr>
      <w:r>
        <w:rPr>
          <w:rFonts w:ascii="仿宋_GB2312" w:hAnsi="仿宋" w:eastAsia="仿宋_GB2312"/>
          <w:sz w:val="28"/>
          <w:szCs w:val="28"/>
        </w:rPr>
        <w:t>该《方案》依据</w:t>
      </w:r>
      <w:r>
        <w:rPr>
          <w:rFonts w:hint="eastAsia" w:ascii="仿宋_GB2312" w:hAnsi="仿宋" w:eastAsia="仿宋_GB2312"/>
          <w:sz w:val="28"/>
          <w:szCs w:val="28"/>
        </w:rPr>
        <w:t>山西太行矿业工程技术有限公司</w:t>
      </w:r>
      <w:r>
        <w:rPr>
          <w:rFonts w:ascii="仿宋_GB2312" w:hAnsi="仿宋" w:eastAsia="仿宋_GB2312"/>
          <w:sz w:val="28"/>
          <w:szCs w:val="28"/>
        </w:rPr>
        <w:t>于20</w:t>
      </w:r>
      <w:r>
        <w:rPr>
          <w:rFonts w:hint="eastAsia" w:ascii="仿宋_GB2312" w:hAnsi="仿宋" w:eastAsia="仿宋_GB2312"/>
          <w:sz w:val="28"/>
          <w:szCs w:val="28"/>
        </w:rPr>
        <w:t>10</w:t>
      </w:r>
      <w:r>
        <w:rPr>
          <w:rFonts w:ascii="仿宋_GB2312" w:hAnsi="仿宋" w:eastAsia="仿宋_GB2312"/>
          <w:sz w:val="28"/>
          <w:szCs w:val="28"/>
        </w:rPr>
        <w:t>年</w:t>
      </w:r>
      <w:r>
        <w:rPr>
          <w:rFonts w:hint="eastAsia" w:ascii="仿宋_GB2312" w:hAnsi="仿宋" w:eastAsia="仿宋_GB2312"/>
          <w:sz w:val="28"/>
          <w:szCs w:val="28"/>
        </w:rPr>
        <w:t>8</w:t>
      </w:r>
      <w:r>
        <w:rPr>
          <w:rFonts w:ascii="仿宋_GB2312" w:hAnsi="仿宋" w:eastAsia="仿宋_GB2312"/>
          <w:sz w:val="28"/>
          <w:szCs w:val="28"/>
        </w:rPr>
        <w:t>月</w:t>
      </w:r>
      <w:r>
        <w:rPr>
          <w:rFonts w:hint="eastAsia" w:ascii="仿宋_GB2312" w:hAnsi="仿宋" w:eastAsia="仿宋_GB2312"/>
          <w:sz w:val="28"/>
          <w:szCs w:val="28"/>
        </w:rPr>
        <w:t>编制</w:t>
      </w:r>
      <w:r>
        <w:rPr>
          <w:rFonts w:ascii="仿宋_GB2312" w:hAnsi="仿宋" w:eastAsia="仿宋_GB2312"/>
          <w:sz w:val="28"/>
          <w:szCs w:val="28"/>
        </w:rPr>
        <w:t>的《</w:t>
      </w:r>
      <w:r>
        <w:rPr>
          <w:rFonts w:hint="eastAsia" w:ascii="仿宋_GB2312" w:hAnsi="仿宋" w:eastAsia="仿宋_GB2312"/>
          <w:sz w:val="28"/>
          <w:szCs w:val="28"/>
        </w:rPr>
        <w:t>襄垣县070号石灰岩矿区资源储量核实报告</w:t>
      </w:r>
      <w:r>
        <w:rPr>
          <w:rFonts w:ascii="仿宋_GB2312" w:hAnsi="仿宋" w:eastAsia="仿宋_GB2312"/>
          <w:sz w:val="28"/>
          <w:szCs w:val="28"/>
        </w:rPr>
        <w:t>》（以下简称《</w:t>
      </w:r>
      <w:r>
        <w:rPr>
          <w:rFonts w:hint="eastAsia" w:ascii="仿宋_GB2312" w:hAnsi="仿宋" w:eastAsia="仿宋_GB2312"/>
          <w:sz w:val="28"/>
          <w:szCs w:val="28"/>
        </w:rPr>
        <w:t>核实</w:t>
      </w:r>
      <w:r>
        <w:rPr>
          <w:rFonts w:ascii="仿宋_GB2312" w:hAnsi="仿宋" w:eastAsia="仿宋_GB2312"/>
          <w:sz w:val="28"/>
          <w:szCs w:val="28"/>
        </w:rPr>
        <w:t>报告》）进行编制。《</w:t>
      </w:r>
      <w:r>
        <w:rPr>
          <w:rFonts w:hint="eastAsia" w:ascii="仿宋_GB2312" w:hAnsi="仿宋" w:eastAsia="仿宋_GB2312"/>
          <w:sz w:val="28"/>
          <w:szCs w:val="28"/>
        </w:rPr>
        <w:t>核实</w:t>
      </w:r>
      <w:r>
        <w:rPr>
          <w:rFonts w:ascii="仿宋_GB2312" w:hAnsi="仿宋" w:eastAsia="仿宋_GB2312"/>
          <w:sz w:val="28"/>
          <w:szCs w:val="28"/>
        </w:rPr>
        <w:t>报告》于20</w:t>
      </w:r>
      <w:r>
        <w:rPr>
          <w:rFonts w:hint="eastAsia" w:ascii="仿宋_GB2312" w:hAnsi="仿宋" w:eastAsia="仿宋_GB2312"/>
          <w:sz w:val="28"/>
          <w:szCs w:val="28"/>
        </w:rPr>
        <w:t>12</w:t>
      </w:r>
      <w:r>
        <w:rPr>
          <w:rFonts w:ascii="仿宋_GB2312" w:hAnsi="仿宋" w:eastAsia="仿宋_GB2312"/>
          <w:sz w:val="28"/>
          <w:szCs w:val="28"/>
        </w:rPr>
        <w:t>年</w:t>
      </w:r>
      <w:r>
        <w:rPr>
          <w:rFonts w:hint="eastAsia" w:ascii="仿宋_GB2312" w:hAnsi="仿宋" w:eastAsiaTheme="minorEastAsia"/>
          <w:sz w:val="28"/>
          <w:szCs w:val="28"/>
        </w:rPr>
        <w:t>9</w:t>
      </w:r>
      <w:r>
        <w:rPr>
          <w:rFonts w:ascii="仿宋_GB2312" w:hAnsi="仿宋" w:eastAsia="仿宋_GB2312"/>
          <w:sz w:val="28"/>
          <w:szCs w:val="28"/>
        </w:rPr>
        <w:t>月</w:t>
      </w:r>
      <w:r>
        <w:rPr>
          <w:rFonts w:hint="eastAsia" w:ascii="仿宋_GB2312" w:hAnsi="仿宋" w:eastAsia="仿宋_GB2312"/>
          <w:sz w:val="28"/>
          <w:szCs w:val="28"/>
        </w:rPr>
        <w:t>11日</w:t>
      </w:r>
      <w:r>
        <w:rPr>
          <w:rFonts w:ascii="仿宋_GB2312" w:hAnsi="仿宋" w:eastAsia="仿宋_GB2312"/>
          <w:sz w:val="28"/>
          <w:szCs w:val="28"/>
        </w:rPr>
        <w:t>经长治市矿产资源储量报告评审组评审，20</w:t>
      </w:r>
      <w:r>
        <w:rPr>
          <w:rFonts w:hint="eastAsia" w:ascii="仿宋_GB2312" w:hAnsi="仿宋" w:eastAsia="仿宋_GB2312"/>
          <w:sz w:val="28"/>
          <w:szCs w:val="28"/>
        </w:rPr>
        <w:t>10</w:t>
      </w:r>
      <w:r>
        <w:rPr>
          <w:rFonts w:ascii="仿宋_GB2312" w:hAnsi="仿宋" w:eastAsia="仿宋_GB2312"/>
          <w:sz w:val="28"/>
          <w:szCs w:val="28"/>
        </w:rPr>
        <w:t>年</w:t>
      </w:r>
      <w:r>
        <w:rPr>
          <w:rFonts w:hint="eastAsia" w:ascii="仿宋_GB2312" w:hAnsi="仿宋" w:eastAsiaTheme="minorEastAsia"/>
          <w:sz w:val="28"/>
          <w:szCs w:val="28"/>
        </w:rPr>
        <w:t>9</w:t>
      </w:r>
      <w:r>
        <w:rPr>
          <w:rFonts w:ascii="仿宋_GB2312" w:hAnsi="仿宋" w:eastAsia="仿宋_GB2312"/>
          <w:sz w:val="28"/>
          <w:szCs w:val="28"/>
        </w:rPr>
        <w:t>月</w:t>
      </w:r>
      <w:r>
        <w:rPr>
          <w:rFonts w:hint="eastAsia" w:ascii="仿宋_GB2312" w:hAnsi="仿宋" w:eastAsiaTheme="minorEastAsia"/>
          <w:sz w:val="28"/>
          <w:szCs w:val="28"/>
        </w:rPr>
        <w:t>30</w:t>
      </w:r>
      <w:r>
        <w:rPr>
          <w:rFonts w:ascii="仿宋_GB2312" w:hAnsi="仿宋" w:eastAsia="仿宋_GB2312"/>
          <w:sz w:val="28"/>
          <w:szCs w:val="28"/>
        </w:rPr>
        <w:t>日以复核意见书通过，所</w:t>
      </w:r>
      <w:r>
        <w:rPr>
          <w:rFonts w:hint="eastAsia" w:ascii="仿宋_GB2312" w:hAnsi="仿宋" w:eastAsia="仿宋_GB2312"/>
          <w:sz w:val="28"/>
          <w:szCs w:val="28"/>
        </w:rPr>
        <w:t>提交</w:t>
      </w:r>
      <w:r>
        <w:rPr>
          <w:rFonts w:ascii="仿宋_GB2312" w:hAnsi="仿宋" w:eastAsia="仿宋_GB2312"/>
          <w:sz w:val="28"/>
          <w:szCs w:val="28"/>
        </w:rPr>
        <w:t>资源</w:t>
      </w:r>
      <w:r>
        <w:rPr>
          <w:rFonts w:hint="eastAsia" w:ascii="仿宋_GB2312" w:hAnsi="仿宋" w:eastAsia="仿宋_GB2312"/>
          <w:sz w:val="28"/>
          <w:szCs w:val="28"/>
        </w:rPr>
        <w:t>/</w:t>
      </w:r>
      <w:r>
        <w:rPr>
          <w:rFonts w:ascii="仿宋_GB2312" w:hAnsi="仿宋" w:eastAsia="仿宋_GB2312"/>
          <w:sz w:val="28"/>
          <w:szCs w:val="28"/>
        </w:rPr>
        <w:t>储量于201</w:t>
      </w:r>
      <w:r>
        <w:rPr>
          <w:rFonts w:hint="eastAsia" w:ascii="仿宋_GB2312" w:hAnsi="仿宋" w:eastAsia="仿宋_GB2312"/>
          <w:sz w:val="28"/>
          <w:szCs w:val="28"/>
        </w:rPr>
        <w:t>0</w:t>
      </w:r>
      <w:r>
        <w:rPr>
          <w:rFonts w:ascii="仿宋_GB2312" w:hAnsi="仿宋" w:eastAsia="仿宋_GB2312"/>
          <w:sz w:val="28"/>
          <w:szCs w:val="28"/>
        </w:rPr>
        <w:t>年</w:t>
      </w:r>
      <w:r>
        <w:rPr>
          <w:rFonts w:hint="eastAsia" w:ascii="仿宋_GB2312" w:hAnsi="仿宋" w:eastAsia="仿宋_GB2312"/>
          <w:sz w:val="28"/>
          <w:szCs w:val="28"/>
        </w:rPr>
        <w:t>10</w:t>
      </w:r>
      <w:r>
        <w:rPr>
          <w:rFonts w:ascii="仿宋_GB2312" w:hAnsi="仿宋" w:eastAsia="仿宋_GB2312"/>
          <w:sz w:val="28"/>
          <w:szCs w:val="28"/>
        </w:rPr>
        <w:t>月由</w:t>
      </w:r>
      <w:r>
        <w:rPr>
          <w:rFonts w:hint="eastAsia" w:ascii="仿宋_GB2312" w:hAnsi="仿宋" w:eastAsia="仿宋_GB2312"/>
          <w:sz w:val="28"/>
          <w:szCs w:val="28"/>
        </w:rPr>
        <w:t>原</w:t>
      </w:r>
      <w:r>
        <w:rPr>
          <w:rFonts w:ascii="仿宋_GB2312" w:hAnsi="仿宋" w:eastAsia="仿宋_GB2312"/>
          <w:sz w:val="28"/>
          <w:szCs w:val="28"/>
        </w:rPr>
        <w:t>长治市国土资源局予以备案（备案文号：长国土资非煤整储备字</w:t>
      </w:r>
      <w:r>
        <w:rPr>
          <w:rFonts w:hint="eastAsia" w:ascii="仿宋_GB2312" w:hAnsi="仿宋" w:eastAsia="仿宋_GB2312"/>
          <w:sz w:val="28"/>
          <w:szCs w:val="28"/>
        </w:rPr>
        <w:t>[2010]0033</w:t>
      </w:r>
      <w:r>
        <w:rPr>
          <w:rFonts w:ascii="仿宋_GB2312" w:hAnsi="仿宋" w:eastAsia="仿宋_GB2312"/>
          <w:sz w:val="28"/>
          <w:szCs w:val="28"/>
        </w:rPr>
        <w:t>号），截止到</w:t>
      </w:r>
      <w:r>
        <w:rPr>
          <w:rFonts w:hint="eastAsia" w:ascii="仿宋_GB2312" w:hAnsi="仿宋" w:eastAsia="仿宋_GB2312"/>
          <w:sz w:val="28"/>
          <w:szCs w:val="28"/>
        </w:rPr>
        <w:t>2010年6</w:t>
      </w:r>
      <w:r>
        <w:rPr>
          <w:rFonts w:ascii="仿宋_GB2312" w:hAnsi="仿宋" w:eastAsia="仿宋_GB2312"/>
          <w:sz w:val="28"/>
          <w:szCs w:val="28"/>
        </w:rPr>
        <w:t>月底，全区累计查明</w:t>
      </w:r>
      <w:r>
        <w:rPr>
          <w:rFonts w:hint="eastAsia" w:ascii="仿宋_GB2312" w:hAnsi="仿宋" w:eastAsia="仿宋_GB2312"/>
          <w:sz w:val="28"/>
          <w:szCs w:val="28"/>
        </w:rPr>
        <w:t>熔剂用石</w:t>
      </w:r>
      <w:r>
        <w:rPr>
          <w:rFonts w:ascii="仿宋_GB2312" w:hAnsi="仿宋" w:eastAsia="仿宋_GB2312"/>
          <w:sz w:val="28"/>
          <w:szCs w:val="28"/>
        </w:rPr>
        <w:t>灰岩矿资源</w:t>
      </w:r>
      <w:r>
        <w:rPr>
          <w:rFonts w:hint="eastAsia" w:ascii="仿宋_GB2312" w:hAnsi="仿宋" w:eastAsia="仿宋_GB2312"/>
          <w:sz w:val="28"/>
          <w:szCs w:val="28"/>
        </w:rPr>
        <w:t>/储</w:t>
      </w:r>
      <w:r>
        <w:rPr>
          <w:rFonts w:ascii="仿宋_GB2312" w:hAnsi="仿宋" w:eastAsia="仿宋_GB2312"/>
          <w:sz w:val="28"/>
          <w:szCs w:val="28"/>
        </w:rPr>
        <w:t>量</w:t>
      </w:r>
      <w:r>
        <w:rPr>
          <w:rFonts w:hint="eastAsia" w:ascii="仿宋_GB2312" w:hAnsi="仿宋" w:eastAsia="仿宋_GB2312"/>
          <w:sz w:val="28"/>
          <w:szCs w:val="28"/>
        </w:rPr>
        <w:t>1107</w:t>
      </w:r>
      <w:r>
        <w:rPr>
          <w:rFonts w:ascii="仿宋_GB2312" w:hAnsi="仿宋" w:eastAsia="仿宋_GB2312"/>
          <w:sz w:val="28"/>
          <w:szCs w:val="28"/>
        </w:rPr>
        <w:t>万吨，保有（</w:t>
      </w:r>
      <w:r>
        <w:rPr>
          <w:rFonts w:hint="eastAsia" w:ascii="仿宋_GB2312" w:hAnsi="仿宋" w:eastAsia="仿宋_GB2312"/>
          <w:sz w:val="28"/>
          <w:szCs w:val="28"/>
        </w:rPr>
        <w:t>122b</w:t>
      </w:r>
      <w:r>
        <w:rPr>
          <w:rFonts w:ascii="仿宋_GB2312" w:hAnsi="仿宋" w:eastAsia="仿宋_GB2312"/>
          <w:sz w:val="28"/>
          <w:szCs w:val="28"/>
        </w:rPr>
        <w:t>）类</w:t>
      </w:r>
      <w:r>
        <w:rPr>
          <w:rFonts w:hint="eastAsia" w:ascii="仿宋_GB2312" w:hAnsi="仿宋" w:eastAsia="仿宋_GB2312"/>
          <w:sz w:val="28"/>
          <w:szCs w:val="28"/>
        </w:rPr>
        <w:t>熔剂用石</w:t>
      </w:r>
      <w:r>
        <w:rPr>
          <w:rFonts w:ascii="仿宋_GB2312" w:hAnsi="仿宋" w:eastAsia="仿宋_GB2312"/>
          <w:sz w:val="28"/>
          <w:szCs w:val="28"/>
        </w:rPr>
        <w:t>灰岩矿石资源</w:t>
      </w:r>
      <w:r>
        <w:rPr>
          <w:rFonts w:hint="eastAsia" w:ascii="仿宋_GB2312" w:hAnsi="仿宋" w:eastAsia="仿宋_GB2312"/>
          <w:sz w:val="28"/>
          <w:szCs w:val="28"/>
        </w:rPr>
        <w:t>储</w:t>
      </w:r>
      <w:r>
        <w:rPr>
          <w:rFonts w:ascii="仿宋_GB2312" w:hAnsi="仿宋" w:eastAsia="仿宋_GB2312"/>
          <w:sz w:val="28"/>
          <w:szCs w:val="28"/>
        </w:rPr>
        <w:t>量</w:t>
      </w:r>
      <w:r>
        <w:rPr>
          <w:rFonts w:hint="eastAsia" w:ascii="仿宋_GB2312" w:hAnsi="仿宋" w:eastAsia="仿宋_GB2312"/>
          <w:sz w:val="28"/>
          <w:szCs w:val="28"/>
        </w:rPr>
        <w:t>1107</w:t>
      </w:r>
      <w:r>
        <w:rPr>
          <w:rFonts w:ascii="仿宋_GB2312" w:hAnsi="仿宋" w:eastAsia="仿宋_GB2312"/>
          <w:sz w:val="28"/>
          <w:szCs w:val="28"/>
        </w:rPr>
        <w:t>万吨</w:t>
      </w:r>
      <w:r>
        <w:rPr>
          <w:rFonts w:hint="eastAsia" w:ascii="仿宋_GB2312" w:hAnsi="仿宋" w:eastAsia="仿宋_GB2312"/>
          <w:sz w:val="28"/>
          <w:szCs w:val="28"/>
        </w:rPr>
        <w:t>（按照GB/T17766-2020对应为控制资源量1107</w:t>
      </w:r>
      <w:r>
        <w:rPr>
          <w:rFonts w:ascii="仿宋_GB2312" w:hAnsi="仿宋" w:eastAsia="仿宋_GB2312"/>
          <w:sz w:val="28"/>
          <w:szCs w:val="28"/>
        </w:rPr>
        <w:t>万吨</w:t>
      </w:r>
      <w:r>
        <w:rPr>
          <w:rFonts w:hint="eastAsia" w:ascii="仿宋_GB2312" w:hAnsi="仿宋" w:eastAsia="仿宋_GB2312"/>
          <w:sz w:val="28"/>
          <w:szCs w:val="28"/>
        </w:rPr>
        <w:t>）。首钢长治钢铁有限公司襄垣熔剂分公司取得采矿权至今未开发</w:t>
      </w:r>
      <w:r>
        <w:rPr>
          <w:rFonts w:ascii="仿宋_GB2312" w:hAnsi="仿宋" w:eastAsia="仿宋_GB2312"/>
          <w:sz w:val="28"/>
          <w:szCs w:val="28"/>
        </w:rPr>
        <w:t>。《方案》依据《</w:t>
      </w:r>
      <w:r>
        <w:rPr>
          <w:rFonts w:hint="eastAsia" w:ascii="仿宋_GB2312" w:hAnsi="仿宋" w:eastAsia="仿宋_GB2312"/>
          <w:sz w:val="28"/>
          <w:szCs w:val="28"/>
        </w:rPr>
        <w:t>核实</w:t>
      </w:r>
      <w:r>
        <w:rPr>
          <w:rFonts w:ascii="仿宋_GB2312" w:hAnsi="仿宋" w:eastAsia="仿宋_GB2312"/>
          <w:sz w:val="28"/>
          <w:szCs w:val="28"/>
        </w:rPr>
        <w:t>报告》</w:t>
      </w:r>
      <w:r>
        <w:rPr>
          <w:rFonts w:hint="eastAsia" w:ascii="仿宋_GB2312" w:hAnsi="仿宋" w:eastAsia="仿宋_GB2312"/>
          <w:sz w:val="28"/>
          <w:szCs w:val="28"/>
        </w:rPr>
        <w:t>设计利用熔剂用石灰岩矿石控制资源量639.83万吨，可采储量经计算为607.84万吨。</w:t>
      </w:r>
    </w:p>
    <w:p>
      <w:pPr>
        <w:spacing w:line="480" w:lineRule="exact"/>
        <w:ind w:firstLine="562" w:firstLineChars="200"/>
        <w:rPr>
          <w:rFonts w:ascii="仿宋_GB2312" w:hAnsi="仿宋" w:eastAsia="仿宋_GB2312"/>
          <w:b/>
          <w:sz w:val="28"/>
          <w:szCs w:val="28"/>
        </w:rPr>
      </w:pPr>
      <w:r>
        <w:rPr>
          <w:rFonts w:ascii="仿宋_GB2312" w:hAnsi="仿宋" w:eastAsia="仿宋_GB2312"/>
          <w:b/>
          <w:sz w:val="28"/>
          <w:szCs w:val="28"/>
        </w:rPr>
        <w:t>2、开采方式、生产规模及服务年限</w:t>
      </w:r>
    </w:p>
    <w:p>
      <w:pPr>
        <w:autoSpaceDE w:val="0"/>
        <w:spacing w:line="480" w:lineRule="exact"/>
        <w:ind w:firstLine="560" w:firstLineChars="200"/>
        <w:rPr>
          <w:rFonts w:ascii="仿宋_GB2312" w:hAnsi="仿宋" w:eastAsia="仿宋_GB2312"/>
          <w:sz w:val="28"/>
          <w:szCs w:val="28"/>
        </w:rPr>
      </w:pPr>
      <w:r>
        <w:rPr>
          <w:rFonts w:ascii="仿宋_GB2312" w:hAnsi="仿宋" w:eastAsia="仿宋_GB2312"/>
          <w:sz w:val="28"/>
          <w:szCs w:val="28"/>
        </w:rPr>
        <w:t>《方案》采用露天开采方式。推荐矿山露天生产规模为</w:t>
      </w:r>
      <w:r>
        <w:rPr>
          <w:rFonts w:hint="eastAsia" w:ascii="仿宋_GB2312" w:hAnsi="仿宋" w:eastAsiaTheme="minorEastAsia"/>
          <w:sz w:val="28"/>
          <w:szCs w:val="28"/>
        </w:rPr>
        <w:t>45.00</w:t>
      </w:r>
      <w:r>
        <w:rPr>
          <w:rFonts w:ascii="仿宋_GB2312" w:hAnsi="仿宋" w:eastAsia="仿宋_GB2312"/>
          <w:sz w:val="28"/>
          <w:szCs w:val="28"/>
        </w:rPr>
        <w:t>万吨/年，矿山服务年限为</w:t>
      </w:r>
      <w:r>
        <w:rPr>
          <w:rFonts w:hint="eastAsia" w:ascii="仿宋_GB2312" w:hAnsi="仿宋" w:eastAsia="仿宋_GB2312"/>
          <w:sz w:val="28"/>
          <w:szCs w:val="28"/>
        </w:rPr>
        <w:t>13.5</w:t>
      </w:r>
      <w:r>
        <w:rPr>
          <w:rFonts w:ascii="仿宋_GB2312" w:hAnsi="仿宋" w:eastAsia="仿宋_GB2312"/>
          <w:sz w:val="28"/>
          <w:szCs w:val="28"/>
        </w:rPr>
        <w:t>年。</w:t>
      </w:r>
    </w:p>
    <w:p>
      <w:pPr>
        <w:spacing w:line="480" w:lineRule="exact"/>
        <w:ind w:firstLine="562" w:firstLineChars="200"/>
        <w:rPr>
          <w:rFonts w:ascii="仿宋_GB2312" w:hAnsi="仿宋" w:eastAsia="仿宋_GB2312"/>
          <w:b/>
          <w:sz w:val="28"/>
          <w:szCs w:val="28"/>
        </w:rPr>
      </w:pPr>
      <w:r>
        <w:rPr>
          <w:rFonts w:ascii="仿宋_GB2312" w:hAnsi="仿宋" w:eastAsia="仿宋_GB2312"/>
          <w:b/>
          <w:sz w:val="28"/>
          <w:szCs w:val="28"/>
        </w:rPr>
        <w:t>3、产品方案</w:t>
      </w:r>
    </w:p>
    <w:p>
      <w:pPr>
        <w:autoSpaceDE w:val="0"/>
        <w:spacing w:line="480" w:lineRule="exact"/>
        <w:ind w:firstLine="560" w:firstLineChars="200"/>
        <w:rPr>
          <w:rFonts w:ascii="仿宋_GB2312" w:hAnsi="仿宋" w:eastAsia="仿宋_GB2312"/>
          <w:sz w:val="28"/>
          <w:szCs w:val="28"/>
        </w:rPr>
      </w:pPr>
      <w:r>
        <w:rPr>
          <w:rFonts w:ascii="仿宋_GB2312" w:hAnsi="仿宋" w:eastAsia="仿宋_GB2312"/>
          <w:sz w:val="28"/>
          <w:szCs w:val="28"/>
        </w:rPr>
        <w:t>《方案》确定产品方案为：年开采</w:t>
      </w:r>
      <w:r>
        <w:rPr>
          <w:rFonts w:hint="eastAsia" w:ascii="仿宋_GB2312" w:hAnsi="仿宋" w:eastAsia="仿宋_GB2312"/>
          <w:sz w:val="28"/>
          <w:szCs w:val="28"/>
        </w:rPr>
        <w:t>熔剂</w:t>
      </w:r>
      <w:r>
        <w:rPr>
          <w:rFonts w:ascii="仿宋_GB2312" w:hAnsi="仿宋" w:eastAsia="仿宋_GB2312"/>
          <w:sz w:val="28"/>
          <w:szCs w:val="28"/>
        </w:rPr>
        <w:t>用石灰岩原矿</w:t>
      </w:r>
      <w:r>
        <w:rPr>
          <w:rFonts w:hint="eastAsia" w:ascii="仿宋_GB2312" w:hAnsi="仿宋" w:eastAsia="仿宋_GB2312"/>
          <w:sz w:val="28"/>
          <w:szCs w:val="28"/>
        </w:rPr>
        <w:t>45</w:t>
      </w:r>
      <w:r>
        <w:rPr>
          <w:rFonts w:ascii="仿宋_GB2312" w:hAnsi="仿宋" w:eastAsia="仿宋_GB2312"/>
          <w:sz w:val="28"/>
          <w:szCs w:val="28"/>
        </w:rPr>
        <w:t>万吨，全部加工成</w:t>
      </w:r>
      <w:r>
        <w:rPr>
          <w:rFonts w:hint="eastAsia" w:ascii="仿宋" w:hAnsi="仿宋" w:eastAsia="仿宋"/>
          <w:sz w:val="28"/>
          <w:szCs w:val="28"/>
        </w:rPr>
        <w:t>≤</w:t>
      </w:r>
      <w:r>
        <w:rPr>
          <w:rFonts w:hint="eastAsia" w:ascii="仿宋_GB2312" w:hAnsi="仿宋" w:eastAsia="仿宋_GB2312"/>
          <w:sz w:val="28"/>
          <w:szCs w:val="28"/>
        </w:rPr>
        <w:t>2cm、2-4cm、4-8cm等不同规格的熔剂原料</w:t>
      </w:r>
      <w:r>
        <w:rPr>
          <w:rFonts w:ascii="仿宋_GB2312" w:hAnsi="仿宋" w:eastAsia="仿宋_GB2312"/>
          <w:sz w:val="28"/>
          <w:szCs w:val="28"/>
        </w:rPr>
        <w:t>。</w:t>
      </w:r>
    </w:p>
    <w:p>
      <w:pPr>
        <w:spacing w:line="492" w:lineRule="exact"/>
        <w:ind w:firstLine="562" w:firstLineChars="200"/>
        <w:rPr>
          <w:rFonts w:ascii="仿宋_GB2312" w:hAnsi="仿宋" w:eastAsia="仿宋_GB2312"/>
          <w:b/>
          <w:sz w:val="28"/>
          <w:szCs w:val="28"/>
        </w:rPr>
      </w:pPr>
      <w:r>
        <w:rPr>
          <w:rFonts w:ascii="仿宋_GB2312" w:hAnsi="仿宋" w:eastAsia="仿宋_GB2312"/>
          <w:b/>
          <w:sz w:val="28"/>
          <w:szCs w:val="28"/>
        </w:rPr>
        <w:t>4、露天采场及剥采工艺</w:t>
      </w:r>
    </w:p>
    <w:p>
      <w:pPr>
        <w:autoSpaceDE w:val="0"/>
        <w:spacing w:line="492" w:lineRule="exact"/>
        <w:ind w:firstLine="560" w:firstLineChars="200"/>
        <w:rPr>
          <w:rFonts w:ascii="仿宋_GB2312" w:hAnsi="仿宋" w:eastAsia="仿宋_GB2312"/>
          <w:sz w:val="28"/>
          <w:szCs w:val="28"/>
        </w:rPr>
      </w:pPr>
      <w:r>
        <w:rPr>
          <w:rFonts w:ascii="仿宋_GB2312" w:hAnsi="仿宋" w:eastAsia="仿宋_GB2312"/>
          <w:sz w:val="28"/>
          <w:szCs w:val="28"/>
        </w:rPr>
        <w:t>《方案》确定</w:t>
      </w:r>
      <w:r>
        <w:rPr>
          <w:rFonts w:hint="eastAsia" w:ascii="仿宋_GB2312" w:hAnsi="仿宋" w:eastAsia="仿宋_GB2312"/>
          <w:sz w:val="28"/>
          <w:szCs w:val="28"/>
        </w:rPr>
        <w:t>矿山采用山坡露天矿开采，半壁</w:t>
      </w:r>
      <w:r>
        <w:rPr>
          <w:rFonts w:ascii="仿宋_GB2312" w:hAnsi="仿宋" w:eastAsia="仿宋_GB2312"/>
          <w:sz w:val="28"/>
          <w:szCs w:val="28"/>
        </w:rPr>
        <w:t>公路</w:t>
      </w:r>
      <w:r>
        <w:rPr>
          <w:rFonts w:hint="eastAsia" w:ascii="仿宋_GB2312" w:hAnsi="仿宋" w:eastAsia="仿宋_GB2312"/>
          <w:sz w:val="28"/>
          <w:szCs w:val="28"/>
        </w:rPr>
        <w:t>移动式坑线</w:t>
      </w:r>
      <w:r>
        <w:rPr>
          <w:rFonts w:ascii="仿宋_GB2312" w:hAnsi="仿宋" w:eastAsia="仿宋_GB2312"/>
          <w:sz w:val="28"/>
          <w:szCs w:val="28"/>
        </w:rPr>
        <w:t>开拓，</w:t>
      </w:r>
      <w:r>
        <w:rPr>
          <w:rFonts w:hint="eastAsia" w:ascii="仿宋_GB2312" w:hAnsi="仿宋" w:eastAsia="仿宋_GB2312"/>
          <w:sz w:val="28"/>
          <w:szCs w:val="28"/>
        </w:rPr>
        <w:t>回返</w:t>
      </w:r>
      <w:r>
        <w:rPr>
          <w:rFonts w:ascii="仿宋_GB2312" w:hAnsi="仿宋" w:eastAsia="仿宋_GB2312"/>
          <w:sz w:val="28"/>
          <w:szCs w:val="28"/>
        </w:rPr>
        <w:t>式汽车运输方案，开采的矿石</w:t>
      </w:r>
      <w:r>
        <w:rPr>
          <w:rFonts w:hint="eastAsia" w:ascii="仿宋_GB2312" w:hAnsi="仿宋" w:eastAsia="仿宋_GB2312"/>
          <w:sz w:val="28"/>
          <w:szCs w:val="28"/>
        </w:rPr>
        <w:t>运至</w:t>
      </w:r>
      <w:r>
        <w:rPr>
          <w:rFonts w:ascii="仿宋_GB2312" w:hAnsi="仿宋" w:eastAsia="仿宋_GB2312"/>
          <w:sz w:val="28"/>
          <w:szCs w:val="28"/>
        </w:rPr>
        <w:t>破碎站加工</w:t>
      </w:r>
      <w:r>
        <w:rPr>
          <w:rFonts w:hint="eastAsia" w:ascii="仿宋_GB2312" w:hAnsi="仿宋" w:eastAsia="仿宋_GB2312"/>
          <w:sz w:val="28"/>
          <w:szCs w:val="28"/>
        </w:rPr>
        <w:t>成熔剂原料成品</w:t>
      </w:r>
      <w:r>
        <w:rPr>
          <w:rFonts w:ascii="仿宋_GB2312" w:hAnsi="仿宋" w:eastAsia="仿宋_GB2312"/>
          <w:sz w:val="28"/>
          <w:szCs w:val="28"/>
        </w:rPr>
        <w:t>后</w:t>
      </w:r>
      <w:r>
        <w:rPr>
          <w:rFonts w:hint="eastAsia" w:ascii="仿宋_GB2312" w:hAnsi="仿宋" w:eastAsia="仿宋_GB2312"/>
          <w:sz w:val="28"/>
          <w:szCs w:val="28"/>
        </w:rPr>
        <w:t>，汽车运至首钢长治钢铁有限公司熔剂车间</w:t>
      </w:r>
      <w:r>
        <w:rPr>
          <w:rFonts w:ascii="仿宋_GB2312" w:hAnsi="仿宋" w:eastAsia="仿宋_GB2312"/>
          <w:sz w:val="28"/>
          <w:szCs w:val="28"/>
        </w:rPr>
        <w:t>。</w:t>
      </w:r>
    </w:p>
    <w:p>
      <w:pPr>
        <w:autoSpaceDE w:val="0"/>
        <w:spacing w:line="492" w:lineRule="exact"/>
        <w:ind w:firstLine="560" w:firstLineChars="200"/>
        <w:rPr>
          <w:rFonts w:ascii="仿宋_GB2312" w:hAnsi="仿宋" w:eastAsia="仿宋_GB2312"/>
          <w:sz w:val="28"/>
          <w:szCs w:val="28"/>
        </w:rPr>
      </w:pPr>
      <w:r>
        <w:rPr>
          <w:rFonts w:ascii="仿宋_GB2312" w:hAnsi="仿宋" w:eastAsia="仿宋_GB2312"/>
          <w:sz w:val="28"/>
          <w:szCs w:val="28"/>
        </w:rPr>
        <w:t>《方案》依据</w:t>
      </w:r>
      <w:r>
        <w:rPr>
          <w:rFonts w:hint="eastAsia" w:ascii="仿宋_GB2312" w:hAnsi="仿宋" w:eastAsia="仿宋_GB2312"/>
          <w:sz w:val="28"/>
          <w:szCs w:val="28"/>
        </w:rPr>
        <w:t>“境界平均剥采比不大于经济合理剥采比”的原则</w:t>
      </w:r>
      <w:r>
        <w:rPr>
          <w:rFonts w:ascii="仿宋_GB2312" w:hAnsi="仿宋" w:eastAsia="仿宋_GB2312"/>
          <w:sz w:val="28"/>
          <w:szCs w:val="28"/>
        </w:rPr>
        <w:t>确定露天开采境界，布置一个</w:t>
      </w:r>
      <w:r>
        <w:rPr>
          <w:rFonts w:hint="eastAsia" w:ascii="仿宋_GB2312" w:hAnsi="仿宋" w:eastAsia="仿宋_GB2312"/>
          <w:sz w:val="28"/>
          <w:szCs w:val="28"/>
        </w:rPr>
        <w:t>山坡</w:t>
      </w:r>
      <w:r>
        <w:rPr>
          <w:rFonts w:ascii="仿宋_GB2312" w:hAnsi="仿宋" w:eastAsia="仿宋_GB2312"/>
          <w:sz w:val="28"/>
          <w:szCs w:val="28"/>
        </w:rPr>
        <w:t>露天采场。</w:t>
      </w:r>
      <w:r>
        <w:rPr>
          <w:rFonts w:hint="eastAsia" w:ascii="仿宋_GB2312" w:hAnsi="仿宋" w:eastAsia="仿宋_GB2312"/>
          <w:sz w:val="28"/>
          <w:szCs w:val="28"/>
        </w:rPr>
        <w:t>在矿区外南部紧邻工业场地设一外排土场，采用后退式分层排放</w:t>
      </w:r>
      <w:r>
        <w:rPr>
          <w:rFonts w:ascii="仿宋_GB2312" w:hAnsi="仿宋" w:eastAsia="仿宋_GB2312"/>
          <w:sz w:val="28"/>
          <w:szCs w:val="28"/>
        </w:rPr>
        <w:t>。采场开采顺序为：采用自上而下分台阶开采，</w:t>
      </w:r>
      <w:r>
        <w:rPr>
          <w:rFonts w:hint="eastAsia" w:ascii="仿宋_GB2312" w:hAnsi="仿宋" w:eastAsia="仿宋_GB2312"/>
          <w:sz w:val="28"/>
          <w:szCs w:val="28"/>
        </w:rPr>
        <w:t>先期从采场最高处+1140m标高开始剥离，剥离+1115m标高以上全部泥灰岩覆盖层，首采平台+1110m标高为铲装台阶，随着开采面的推进，形成最终边帮。工作面推进方向由北向南，工作线方向沿台阶由东向西推进，同时生产一个台阶。</w:t>
      </w:r>
    </w:p>
    <w:p>
      <w:pPr>
        <w:autoSpaceDE w:val="0"/>
        <w:spacing w:line="492" w:lineRule="exact"/>
        <w:ind w:firstLine="560" w:firstLineChars="200"/>
        <w:rPr>
          <w:rFonts w:ascii="仿宋_GB2312" w:hAnsi="仿宋" w:eastAsia="仿宋_GB2312"/>
          <w:sz w:val="28"/>
          <w:szCs w:val="28"/>
        </w:rPr>
      </w:pPr>
      <w:r>
        <w:rPr>
          <w:rFonts w:ascii="仿宋_GB2312" w:hAnsi="仿宋" w:eastAsia="仿宋_GB2312"/>
          <w:sz w:val="28"/>
          <w:szCs w:val="28"/>
        </w:rPr>
        <w:t>《方案》确定露天采矿场主要技术参数为：</w:t>
      </w:r>
    </w:p>
    <w:p>
      <w:pPr>
        <w:autoSpaceDE w:val="0"/>
        <w:spacing w:line="492" w:lineRule="exact"/>
        <w:ind w:firstLine="560" w:firstLineChars="200"/>
        <w:rPr>
          <w:rFonts w:ascii="仿宋_GB2312" w:hAnsi="仿宋" w:eastAsia="仿宋_GB2312"/>
          <w:sz w:val="28"/>
          <w:szCs w:val="28"/>
        </w:rPr>
      </w:pPr>
      <w:r>
        <w:rPr>
          <w:rFonts w:hint="eastAsia" w:ascii="仿宋_GB2312" w:hAnsi="仿宋" w:eastAsia="仿宋_GB2312"/>
          <w:sz w:val="28"/>
          <w:szCs w:val="28"/>
        </w:rPr>
        <w:t>根据现状确定矿区内最高开采标高为+1140m，</w:t>
      </w:r>
      <w:r>
        <w:rPr>
          <w:rFonts w:ascii="仿宋_GB2312" w:hAnsi="仿宋" w:eastAsia="仿宋_GB2312"/>
          <w:sz w:val="28"/>
          <w:szCs w:val="28"/>
        </w:rPr>
        <w:t>采场共分</w:t>
      </w:r>
      <w:r>
        <w:rPr>
          <w:rFonts w:hint="eastAsia" w:ascii="仿宋_GB2312" w:hAnsi="仿宋" w:eastAsia="仿宋_GB2312"/>
          <w:sz w:val="28"/>
          <w:szCs w:val="28"/>
        </w:rPr>
        <w:t>为13</w:t>
      </w:r>
      <w:r>
        <w:rPr>
          <w:rFonts w:ascii="仿宋_GB2312" w:hAnsi="仿宋" w:eastAsia="仿宋_GB2312"/>
          <w:sz w:val="28"/>
          <w:szCs w:val="28"/>
        </w:rPr>
        <w:t>个台阶</w:t>
      </w:r>
      <w:r>
        <w:rPr>
          <w:rFonts w:hint="eastAsia" w:ascii="仿宋_GB2312" w:hAnsi="仿宋" w:eastAsia="仿宋_GB2312"/>
          <w:sz w:val="28"/>
          <w:szCs w:val="28"/>
        </w:rPr>
        <w:t>；</w:t>
      </w:r>
      <w:r>
        <w:rPr>
          <w:rFonts w:ascii="仿宋_GB2312" w:hAnsi="仿宋" w:eastAsia="仿宋_GB2312"/>
          <w:sz w:val="28"/>
          <w:szCs w:val="28"/>
        </w:rPr>
        <w:t>开采阶段台阶高度1</w:t>
      </w:r>
      <w:r>
        <w:rPr>
          <w:rFonts w:hint="eastAsia" w:ascii="仿宋_GB2312" w:hAnsi="仿宋" w:eastAsia="仿宋_GB2312"/>
          <w:sz w:val="28"/>
          <w:szCs w:val="28"/>
        </w:rPr>
        <w:t>0</w:t>
      </w:r>
      <w:r>
        <w:rPr>
          <w:rFonts w:ascii="仿宋_GB2312" w:hAnsi="仿宋" w:eastAsia="仿宋_GB2312"/>
          <w:sz w:val="28"/>
          <w:szCs w:val="28"/>
        </w:rPr>
        <w:t>m，终了台阶高度1</w:t>
      </w:r>
      <w:r>
        <w:rPr>
          <w:rFonts w:hint="eastAsia" w:ascii="仿宋_GB2312" w:hAnsi="仿宋" w:eastAsia="仿宋_GB2312"/>
          <w:sz w:val="28"/>
          <w:szCs w:val="28"/>
        </w:rPr>
        <w:t>0</w:t>
      </w:r>
      <w:r>
        <w:rPr>
          <w:rFonts w:ascii="仿宋_GB2312" w:hAnsi="仿宋" w:eastAsia="仿宋_GB2312"/>
          <w:sz w:val="28"/>
          <w:szCs w:val="28"/>
        </w:rPr>
        <w:t>m；开采阶段台阶坡面角为7</w:t>
      </w:r>
      <w:r>
        <w:rPr>
          <w:rFonts w:hint="eastAsia" w:ascii="仿宋_GB2312" w:hAnsi="仿宋" w:eastAsia="仿宋_GB2312"/>
          <w:sz w:val="28"/>
          <w:szCs w:val="28"/>
        </w:rPr>
        <w:t>0</w:t>
      </w:r>
      <w:r>
        <w:rPr>
          <w:rFonts w:ascii="仿宋_GB2312" w:hAnsi="仿宋" w:eastAsia="仿宋_GB2312"/>
          <w:sz w:val="28"/>
          <w:szCs w:val="28"/>
        </w:rPr>
        <w:t>°</w:t>
      </w:r>
      <w:r>
        <w:rPr>
          <w:rFonts w:hint="eastAsia" w:ascii="仿宋_GB2312" w:hAnsi="仿宋" w:eastAsia="仿宋_GB2312"/>
          <w:sz w:val="28"/>
          <w:szCs w:val="28"/>
        </w:rPr>
        <w:t>，表土层45</w:t>
      </w:r>
      <w:r>
        <w:rPr>
          <w:rFonts w:hint="eastAsia" w:ascii="仿宋" w:hAnsi="仿宋" w:eastAsia="仿宋"/>
          <w:sz w:val="28"/>
          <w:szCs w:val="28"/>
        </w:rPr>
        <w:t>°；</w:t>
      </w:r>
      <w:r>
        <w:rPr>
          <w:rFonts w:ascii="仿宋_GB2312" w:hAnsi="仿宋" w:eastAsia="仿宋_GB2312"/>
          <w:sz w:val="28"/>
          <w:szCs w:val="28"/>
        </w:rPr>
        <w:t>采场终了台阶坡面角为70°</w:t>
      </w:r>
      <w:r>
        <w:rPr>
          <w:rFonts w:hint="eastAsia" w:ascii="仿宋_GB2312" w:hAnsi="仿宋" w:eastAsia="仿宋_GB2312"/>
          <w:sz w:val="28"/>
          <w:szCs w:val="28"/>
        </w:rPr>
        <w:t>，表土层45</w:t>
      </w:r>
      <w:r>
        <w:rPr>
          <w:rFonts w:hint="eastAsia" w:ascii="仿宋" w:hAnsi="仿宋" w:eastAsia="仿宋"/>
          <w:sz w:val="28"/>
          <w:szCs w:val="28"/>
        </w:rPr>
        <w:t>°</w:t>
      </w:r>
      <w:r>
        <w:rPr>
          <w:rFonts w:hint="eastAsia" w:ascii="仿宋_GB2312" w:hAnsi="仿宋" w:eastAsia="仿宋_GB2312"/>
          <w:sz w:val="28"/>
          <w:szCs w:val="28"/>
        </w:rPr>
        <w:t>；</w:t>
      </w:r>
      <w:r>
        <w:rPr>
          <w:rFonts w:ascii="仿宋_GB2312" w:hAnsi="仿宋" w:eastAsia="仿宋_GB2312"/>
          <w:sz w:val="28"/>
          <w:szCs w:val="28"/>
        </w:rPr>
        <w:t>露天采场</w:t>
      </w:r>
      <w:r>
        <w:rPr>
          <w:rFonts w:hint="eastAsia" w:ascii="仿宋_GB2312" w:hAnsi="仿宋" w:eastAsia="仿宋_GB2312"/>
          <w:sz w:val="28"/>
          <w:szCs w:val="28"/>
        </w:rPr>
        <w:t>最</w:t>
      </w:r>
      <w:r>
        <w:rPr>
          <w:rFonts w:ascii="仿宋_GB2312" w:hAnsi="仿宋" w:eastAsia="仿宋_GB2312"/>
          <w:sz w:val="28"/>
          <w:szCs w:val="28"/>
        </w:rPr>
        <w:t>终边坡角为</w:t>
      </w:r>
      <w:r>
        <w:rPr>
          <w:rFonts w:hint="eastAsia" w:ascii="仿宋_GB2312" w:hAnsi="仿宋" w:eastAsiaTheme="minorEastAsia"/>
          <w:sz w:val="28"/>
          <w:szCs w:val="28"/>
        </w:rPr>
        <w:t>51.5</w:t>
      </w:r>
      <w:r>
        <w:rPr>
          <w:rFonts w:ascii="仿宋_GB2312" w:hAnsi="仿宋" w:eastAsia="仿宋_GB2312"/>
          <w:sz w:val="28"/>
          <w:szCs w:val="28"/>
        </w:rPr>
        <w:t>°；安全平台宽为</w:t>
      </w:r>
      <w:r>
        <w:rPr>
          <w:rFonts w:hint="eastAsia" w:ascii="仿宋_GB2312" w:hAnsi="仿宋" w:eastAsia="仿宋_GB2312"/>
          <w:sz w:val="28"/>
          <w:szCs w:val="28"/>
        </w:rPr>
        <w:t>4</w:t>
      </w:r>
      <w:r>
        <w:rPr>
          <w:rFonts w:ascii="仿宋_GB2312" w:hAnsi="仿宋" w:eastAsia="仿宋_GB2312"/>
          <w:sz w:val="28"/>
          <w:szCs w:val="28"/>
        </w:rPr>
        <w:t>m；</w:t>
      </w:r>
      <w:r>
        <w:rPr>
          <w:rFonts w:eastAsia="仿宋_GB2312"/>
          <w:sz w:val="28"/>
          <w:szCs w:val="28"/>
        </w:rPr>
        <w:t>每隔</w:t>
      </w:r>
      <w:r>
        <w:rPr>
          <w:rFonts w:hint="eastAsia" w:eastAsia="仿宋_GB2312"/>
          <w:sz w:val="28"/>
          <w:szCs w:val="28"/>
        </w:rPr>
        <w:t>两</w:t>
      </w:r>
      <w:r>
        <w:rPr>
          <w:rFonts w:eastAsia="仿宋_GB2312"/>
          <w:sz w:val="28"/>
          <w:szCs w:val="28"/>
        </w:rPr>
        <w:t>个安全平台设一个宽</w:t>
      </w:r>
      <w:r>
        <w:rPr>
          <w:rFonts w:hint="eastAsia" w:eastAsia="仿宋_GB2312"/>
          <w:sz w:val="28"/>
          <w:szCs w:val="28"/>
        </w:rPr>
        <w:t>6</w:t>
      </w:r>
      <w:r>
        <w:rPr>
          <w:rFonts w:eastAsia="仿宋_GB2312"/>
          <w:sz w:val="28"/>
          <w:szCs w:val="28"/>
        </w:rPr>
        <w:t>m的清扫平台</w:t>
      </w:r>
      <w:r>
        <w:rPr>
          <w:rFonts w:hint="eastAsia" w:ascii="仿宋_GB2312" w:hAnsi="仿宋" w:eastAsia="仿宋_GB2312"/>
          <w:sz w:val="28"/>
          <w:szCs w:val="28"/>
        </w:rPr>
        <w:t>；采场最小底宽40m，</w:t>
      </w:r>
      <w:r>
        <w:rPr>
          <w:rFonts w:ascii="仿宋_GB2312" w:hAnsi="仿宋" w:eastAsia="仿宋_GB2312"/>
          <w:sz w:val="28"/>
          <w:szCs w:val="28"/>
        </w:rPr>
        <w:t>最小工作平台宽度</w:t>
      </w:r>
      <w:r>
        <w:rPr>
          <w:rFonts w:hint="eastAsia" w:ascii="仿宋_GB2312" w:hAnsi="仿宋" w:eastAsiaTheme="minorEastAsia"/>
          <w:sz w:val="28"/>
          <w:szCs w:val="28"/>
        </w:rPr>
        <w:t>40</w:t>
      </w:r>
      <w:r>
        <w:rPr>
          <w:rFonts w:ascii="仿宋_GB2312" w:hAnsi="仿宋" w:eastAsia="仿宋_GB2312"/>
          <w:sz w:val="28"/>
          <w:szCs w:val="28"/>
        </w:rPr>
        <w:t>m；汽车运输道路宽度为6m；采场上口尺寸</w:t>
      </w:r>
      <w:r>
        <w:rPr>
          <w:rFonts w:hint="eastAsia" w:ascii="仿宋_GB2312" w:hAnsi="仿宋" w:eastAsia="仿宋_GB2312"/>
          <w:sz w:val="28"/>
          <w:szCs w:val="28"/>
        </w:rPr>
        <w:t>约</w:t>
      </w:r>
      <w:r>
        <w:rPr>
          <w:rFonts w:ascii="仿宋_GB2312" w:hAnsi="仿宋" w:eastAsia="仿宋_GB2312"/>
          <w:sz w:val="28"/>
          <w:szCs w:val="28"/>
        </w:rPr>
        <w:t>：</w:t>
      </w:r>
      <w:r>
        <w:rPr>
          <w:rFonts w:hint="eastAsia" w:ascii="仿宋_GB2312" w:hAnsi="仿宋" w:eastAsia="仿宋_GB2312"/>
          <w:sz w:val="28"/>
          <w:szCs w:val="28"/>
        </w:rPr>
        <w:t>340</w:t>
      </w:r>
      <w:r>
        <w:rPr>
          <w:rFonts w:ascii="仿宋_GB2312" w:hAnsi="仿宋" w:eastAsia="仿宋_GB2312"/>
          <w:sz w:val="28"/>
          <w:szCs w:val="28"/>
        </w:rPr>
        <w:t>m×</w:t>
      </w:r>
      <w:r>
        <w:rPr>
          <w:rFonts w:hint="eastAsia" w:ascii="仿宋_GB2312" w:hAnsi="仿宋" w:eastAsia="仿宋_GB2312"/>
          <w:sz w:val="28"/>
          <w:szCs w:val="28"/>
        </w:rPr>
        <w:t>260</w:t>
      </w:r>
      <w:r>
        <w:rPr>
          <w:rFonts w:ascii="仿宋_GB2312" w:hAnsi="仿宋" w:eastAsia="仿宋_GB2312"/>
          <w:sz w:val="28"/>
          <w:szCs w:val="28"/>
        </w:rPr>
        <w:t>m</w:t>
      </w:r>
      <w:r>
        <w:rPr>
          <w:rFonts w:hint="eastAsia" w:ascii="仿宋_GB2312" w:hAnsi="仿宋" w:eastAsia="仿宋_GB2312"/>
          <w:sz w:val="28"/>
          <w:szCs w:val="28"/>
        </w:rPr>
        <w:t>，</w:t>
      </w:r>
      <w:r>
        <w:rPr>
          <w:rFonts w:ascii="仿宋_GB2312" w:hAnsi="仿宋" w:eastAsia="仿宋_GB2312"/>
          <w:sz w:val="28"/>
          <w:szCs w:val="28"/>
        </w:rPr>
        <w:t>下口尺寸：</w:t>
      </w:r>
      <w:r>
        <w:rPr>
          <w:rFonts w:hint="eastAsia" w:ascii="仿宋_GB2312" w:hAnsi="仿宋" w:eastAsia="仿宋_GB2312"/>
          <w:sz w:val="28"/>
          <w:szCs w:val="28"/>
        </w:rPr>
        <w:t>220m</w:t>
      </w:r>
      <w:r>
        <w:rPr>
          <w:rFonts w:ascii="仿宋_GB2312" w:hAnsi="仿宋" w:eastAsia="仿宋_GB2312"/>
          <w:sz w:val="28"/>
          <w:szCs w:val="28"/>
        </w:rPr>
        <w:t>×</w:t>
      </w:r>
      <w:r>
        <w:rPr>
          <w:rFonts w:hint="eastAsia" w:ascii="仿宋_GB2312" w:hAnsi="仿宋" w:eastAsia="仿宋_GB2312"/>
          <w:sz w:val="28"/>
          <w:szCs w:val="28"/>
        </w:rPr>
        <w:t>200</w:t>
      </w:r>
      <w:r>
        <w:rPr>
          <w:rFonts w:ascii="仿宋_GB2312" w:hAnsi="仿宋" w:eastAsia="仿宋_GB2312"/>
          <w:sz w:val="28"/>
          <w:szCs w:val="28"/>
        </w:rPr>
        <w:t>m。</w:t>
      </w:r>
    </w:p>
    <w:p>
      <w:pPr>
        <w:autoSpaceDE w:val="0"/>
        <w:spacing w:line="492" w:lineRule="exact"/>
        <w:ind w:firstLine="560" w:firstLineChars="200"/>
        <w:rPr>
          <w:rFonts w:ascii="仿宋_GB2312" w:hAnsi="仿宋" w:eastAsia="仿宋_GB2312"/>
          <w:sz w:val="28"/>
          <w:szCs w:val="28"/>
        </w:rPr>
      </w:pPr>
      <w:r>
        <w:rPr>
          <w:rFonts w:ascii="仿宋_GB2312" w:hAnsi="仿宋" w:eastAsia="仿宋_GB2312"/>
          <w:sz w:val="28"/>
          <w:szCs w:val="28"/>
        </w:rPr>
        <w:t>露天采场经济合理剥采比为0.</w:t>
      </w:r>
      <w:r>
        <w:rPr>
          <w:rFonts w:hint="eastAsia" w:ascii="仿宋_GB2312" w:hAnsi="仿宋" w:eastAsia="仿宋_GB2312"/>
          <w:sz w:val="28"/>
          <w:szCs w:val="28"/>
        </w:rPr>
        <w:t>5</w:t>
      </w:r>
      <w:r>
        <w:rPr>
          <w:rFonts w:ascii="仿宋_GB2312" w:hAnsi="仿宋" w:eastAsia="仿宋_GB2312"/>
          <w:sz w:val="28"/>
          <w:szCs w:val="28"/>
        </w:rPr>
        <w:t>:1m</w:t>
      </w:r>
      <w:r>
        <w:rPr>
          <w:rFonts w:ascii="仿宋_GB2312" w:hAnsi="仿宋" w:eastAsia="仿宋_GB2312"/>
          <w:sz w:val="28"/>
          <w:szCs w:val="28"/>
          <w:vertAlign w:val="superscript"/>
        </w:rPr>
        <w:t>3</w:t>
      </w:r>
      <w:r>
        <w:rPr>
          <w:rFonts w:ascii="仿宋_GB2312" w:hAnsi="仿宋" w:eastAsia="仿宋_GB2312"/>
          <w:sz w:val="28"/>
          <w:szCs w:val="28"/>
        </w:rPr>
        <w:t>/m</w:t>
      </w:r>
      <w:r>
        <w:rPr>
          <w:rFonts w:ascii="仿宋_GB2312" w:hAnsi="仿宋" w:eastAsia="仿宋_GB2312"/>
          <w:sz w:val="28"/>
          <w:szCs w:val="28"/>
          <w:vertAlign w:val="superscript"/>
        </w:rPr>
        <w:t>3</w:t>
      </w:r>
      <w:r>
        <w:rPr>
          <w:rFonts w:hint="eastAsia" w:ascii="仿宋_GB2312" w:hAnsi="仿宋" w:eastAsia="仿宋_GB2312"/>
          <w:sz w:val="28"/>
          <w:szCs w:val="28"/>
        </w:rPr>
        <w:t>，境界内平均剥采比0.22</w:t>
      </w:r>
      <w:r>
        <w:rPr>
          <w:rFonts w:ascii="仿宋_GB2312" w:hAnsi="仿宋" w:eastAsia="仿宋_GB2312"/>
          <w:sz w:val="28"/>
          <w:szCs w:val="28"/>
        </w:rPr>
        <w:t>m</w:t>
      </w:r>
      <w:r>
        <w:rPr>
          <w:rFonts w:ascii="仿宋_GB2312" w:hAnsi="仿宋" w:eastAsia="仿宋_GB2312"/>
          <w:sz w:val="28"/>
          <w:szCs w:val="28"/>
          <w:vertAlign w:val="superscript"/>
        </w:rPr>
        <w:t>3</w:t>
      </w:r>
      <w:r>
        <w:rPr>
          <w:rFonts w:ascii="仿宋_GB2312" w:hAnsi="仿宋" w:eastAsia="仿宋_GB2312"/>
          <w:sz w:val="28"/>
          <w:szCs w:val="28"/>
        </w:rPr>
        <w:t>/m</w:t>
      </w:r>
      <w:r>
        <w:rPr>
          <w:rFonts w:ascii="仿宋_GB2312" w:hAnsi="仿宋" w:eastAsia="仿宋_GB2312"/>
          <w:sz w:val="28"/>
          <w:szCs w:val="28"/>
          <w:vertAlign w:val="superscript"/>
        </w:rPr>
        <w:t>3</w:t>
      </w:r>
      <w:r>
        <w:rPr>
          <w:rFonts w:hint="eastAsia" w:ascii="仿宋_GB2312" w:hAnsi="仿宋" w:eastAsia="仿宋_GB2312"/>
          <w:sz w:val="28"/>
          <w:szCs w:val="28"/>
        </w:rPr>
        <w:t>；矿区内</w:t>
      </w:r>
      <w:r>
        <w:rPr>
          <w:rFonts w:ascii="仿宋_GB2312" w:hAnsi="仿宋" w:eastAsia="仿宋_GB2312"/>
          <w:sz w:val="28"/>
          <w:szCs w:val="28"/>
        </w:rPr>
        <w:t>采场最高开采水平标高为</w:t>
      </w:r>
      <w:r>
        <w:rPr>
          <w:rFonts w:hint="eastAsia" w:ascii="仿宋_GB2312" w:hAnsi="仿宋" w:eastAsia="仿宋_GB2312"/>
          <w:sz w:val="28"/>
          <w:szCs w:val="28"/>
        </w:rPr>
        <w:t>+1140</w:t>
      </w:r>
      <w:r>
        <w:rPr>
          <w:rFonts w:ascii="仿宋_GB2312" w:hAnsi="仿宋" w:eastAsia="仿宋_GB2312"/>
          <w:sz w:val="28"/>
          <w:szCs w:val="28"/>
        </w:rPr>
        <w:t>m，最低开采水平标高为</w:t>
      </w:r>
      <w:r>
        <w:rPr>
          <w:rFonts w:hint="eastAsia" w:ascii="仿宋_GB2312" w:hAnsi="仿宋" w:eastAsia="仿宋_GB2312"/>
          <w:sz w:val="28"/>
          <w:szCs w:val="28"/>
        </w:rPr>
        <w:t>+1010</w:t>
      </w:r>
      <w:r>
        <w:rPr>
          <w:rFonts w:ascii="仿宋_GB2312" w:hAnsi="仿宋" w:eastAsia="仿宋_GB2312"/>
          <w:sz w:val="28"/>
          <w:szCs w:val="28"/>
        </w:rPr>
        <w:t>m</w:t>
      </w:r>
      <w:r>
        <w:rPr>
          <w:rFonts w:hint="eastAsia" w:ascii="仿宋_GB2312" w:hAnsi="仿宋" w:eastAsia="仿宋_GB2312"/>
          <w:sz w:val="28"/>
          <w:szCs w:val="28"/>
        </w:rPr>
        <w:t>；</w:t>
      </w:r>
      <w:r>
        <w:rPr>
          <w:rFonts w:ascii="仿宋_GB2312" w:hAnsi="仿宋" w:eastAsia="仿宋_GB2312"/>
          <w:sz w:val="28"/>
          <w:szCs w:val="28"/>
        </w:rPr>
        <w:t>露天采场设计开采回采率为95%。</w:t>
      </w:r>
    </w:p>
    <w:p>
      <w:pPr>
        <w:autoSpaceDE w:val="0"/>
        <w:spacing w:line="492" w:lineRule="exact"/>
        <w:ind w:firstLine="560" w:firstLineChars="200"/>
        <w:rPr>
          <w:rFonts w:ascii="仿宋_GB2312" w:hAnsi="仿宋" w:eastAsia="仿宋_GB2312"/>
          <w:sz w:val="28"/>
          <w:szCs w:val="28"/>
        </w:rPr>
      </w:pPr>
      <w:r>
        <w:rPr>
          <w:rFonts w:ascii="仿宋_GB2312" w:hAnsi="仿宋" w:eastAsia="仿宋_GB2312"/>
          <w:sz w:val="28"/>
          <w:szCs w:val="28"/>
        </w:rPr>
        <w:t>《方案》推荐的露天剥采工艺：自上而下分台阶下行式</w:t>
      </w:r>
      <w:r>
        <w:rPr>
          <w:rFonts w:hint="eastAsia" w:ascii="仿宋_GB2312" w:hAnsi="仿宋" w:eastAsia="仿宋_GB2312"/>
          <w:sz w:val="28"/>
          <w:szCs w:val="28"/>
        </w:rPr>
        <w:t>剥离、</w:t>
      </w:r>
      <w:r>
        <w:rPr>
          <w:rFonts w:ascii="仿宋_GB2312" w:hAnsi="仿宋" w:eastAsia="仿宋_GB2312"/>
          <w:sz w:val="28"/>
          <w:szCs w:val="28"/>
        </w:rPr>
        <w:t>采矿，采用“穿孔爆破—挖掘机、装载机</w:t>
      </w:r>
      <w:r>
        <w:rPr>
          <w:rFonts w:hint="eastAsia" w:ascii="仿宋_GB2312" w:hAnsi="仿宋" w:eastAsia="仿宋_GB2312"/>
          <w:sz w:val="28"/>
          <w:szCs w:val="28"/>
        </w:rPr>
        <w:t>铲</w:t>
      </w:r>
      <w:r>
        <w:rPr>
          <w:rFonts w:ascii="仿宋_GB2312" w:hAnsi="仿宋" w:eastAsia="仿宋_GB2312"/>
          <w:sz w:val="28"/>
          <w:szCs w:val="28"/>
        </w:rPr>
        <w:t>装—自卸汽车运输”的剥采工艺。</w:t>
      </w:r>
    </w:p>
    <w:p>
      <w:pPr>
        <w:autoSpaceDE w:val="0"/>
        <w:spacing w:line="492" w:lineRule="exact"/>
        <w:ind w:firstLine="560" w:firstLineChars="200"/>
        <w:rPr>
          <w:rFonts w:ascii="仿宋_GB2312" w:hAnsi="仿宋" w:eastAsia="仿宋_GB2312"/>
          <w:sz w:val="28"/>
          <w:szCs w:val="28"/>
        </w:rPr>
      </w:pPr>
      <w:r>
        <w:rPr>
          <w:rFonts w:ascii="仿宋_GB2312" w:hAnsi="仿宋" w:eastAsia="仿宋_GB2312"/>
          <w:sz w:val="28"/>
          <w:szCs w:val="28"/>
        </w:rPr>
        <w:t>《方案》推荐穿孔设备为</w:t>
      </w:r>
      <w:r>
        <w:rPr>
          <w:rFonts w:hint="eastAsia" w:ascii="仿宋_GB2312" w:hAnsi="仿宋" w:eastAsia="仿宋_GB2312"/>
          <w:sz w:val="28"/>
          <w:szCs w:val="28"/>
        </w:rPr>
        <w:t>KQ-90Y</w:t>
      </w:r>
      <w:r>
        <w:rPr>
          <w:rFonts w:ascii="仿宋_GB2312" w:hAnsi="仿宋" w:eastAsia="仿宋_GB2312"/>
          <w:sz w:val="28"/>
          <w:szCs w:val="28"/>
        </w:rPr>
        <w:t>型潜孔钻机；二次破碎采用液压冲击锤。爆破方式：台阶爆破以及临近边坡的控制爆矿均</w:t>
      </w:r>
      <w:r>
        <w:rPr>
          <w:rFonts w:hint="eastAsia" w:ascii="仿宋_GB2312" w:hAnsi="仿宋" w:eastAsia="仿宋_GB2312"/>
          <w:sz w:val="28"/>
          <w:szCs w:val="28"/>
        </w:rPr>
        <w:t>采用</w:t>
      </w:r>
      <w:r>
        <w:rPr>
          <w:rFonts w:ascii="仿宋_GB2312" w:hAnsi="仿宋" w:eastAsia="仿宋_GB2312"/>
          <w:sz w:val="28"/>
          <w:szCs w:val="28"/>
        </w:rPr>
        <w:t>中深孔爆破，临近边坡的爆破采用光面控制爆破，采用铵油炸药</w:t>
      </w:r>
      <w:r>
        <w:rPr>
          <w:rFonts w:hint="eastAsia" w:ascii="仿宋_GB2312" w:hAnsi="仿宋" w:eastAsia="仿宋_GB2312"/>
          <w:sz w:val="28"/>
          <w:szCs w:val="28"/>
        </w:rPr>
        <w:t>、</w:t>
      </w:r>
      <w:r>
        <w:rPr>
          <w:rFonts w:ascii="仿宋_GB2312" w:hAnsi="仿宋" w:eastAsia="仿宋_GB2312"/>
          <w:sz w:val="28"/>
          <w:szCs w:val="28"/>
        </w:rPr>
        <w:t>非电导爆管起爆系统爆破。矿、岩</w:t>
      </w:r>
      <w:r>
        <w:rPr>
          <w:rFonts w:hint="eastAsia" w:ascii="仿宋_GB2312" w:hAnsi="仿宋" w:eastAsia="仿宋_GB2312"/>
          <w:sz w:val="28"/>
          <w:szCs w:val="28"/>
        </w:rPr>
        <w:t>铲</w:t>
      </w:r>
      <w:r>
        <w:rPr>
          <w:rFonts w:ascii="仿宋_GB2312" w:hAnsi="仿宋" w:eastAsia="仿宋_GB2312"/>
          <w:sz w:val="28"/>
          <w:szCs w:val="28"/>
        </w:rPr>
        <w:t>装采用</w:t>
      </w:r>
      <w:r>
        <w:rPr>
          <w:rFonts w:hint="eastAsia" w:ascii="仿宋_GB2312" w:hAnsi="仿宋" w:eastAsia="仿宋_GB2312"/>
          <w:sz w:val="28"/>
          <w:szCs w:val="28"/>
        </w:rPr>
        <w:t>斗容1.6m</w:t>
      </w:r>
      <w:r>
        <w:rPr>
          <w:rFonts w:hint="eastAsia" w:ascii="仿宋_GB2312" w:hAnsi="仿宋" w:eastAsia="仿宋_GB2312"/>
          <w:sz w:val="28"/>
          <w:szCs w:val="28"/>
          <w:vertAlign w:val="superscript"/>
        </w:rPr>
        <w:t>3</w:t>
      </w:r>
      <w:r>
        <w:rPr>
          <w:rFonts w:ascii="仿宋_GB2312" w:hAnsi="仿宋" w:eastAsia="仿宋_GB2312"/>
          <w:sz w:val="28"/>
          <w:szCs w:val="28"/>
        </w:rPr>
        <w:t>液压反铲挖掘机和</w:t>
      </w:r>
      <w:r>
        <w:rPr>
          <w:rFonts w:hint="eastAsia" w:ascii="仿宋_GB2312" w:hAnsi="仿宋" w:eastAsia="仿宋_GB2312"/>
          <w:sz w:val="28"/>
          <w:szCs w:val="28"/>
        </w:rPr>
        <w:t>LG50型斗容3m</w:t>
      </w:r>
      <w:r>
        <w:rPr>
          <w:rFonts w:hint="eastAsia" w:ascii="仿宋_GB2312" w:hAnsi="仿宋" w:eastAsia="仿宋_GB2312"/>
          <w:sz w:val="28"/>
          <w:szCs w:val="28"/>
          <w:vertAlign w:val="superscript"/>
        </w:rPr>
        <w:t>3</w:t>
      </w:r>
      <w:r>
        <w:rPr>
          <w:rFonts w:ascii="仿宋_GB2312" w:hAnsi="仿宋" w:eastAsia="仿宋_GB2312"/>
          <w:sz w:val="28"/>
          <w:szCs w:val="28"/>
        </w:rPr>
        <w:t>装载机铲装；矿、岩运输采用载重</w:t>
      </w:r>
      <w:r>
        <w:rPr>
          <w:rFonts w:hint="eastAsia" w:ascii="仿宋_GB2312" w:hAnsi="仿宋" w:eastAsia="仿宋_GB2312"/>
          <w:sz w:val="28"/>
          <w:szCs w:val="28"/>
        </w:rPr>
        <w:t>为</w:t>
      </w:r>
      <w:r>
        <w:rPr>
          <w:rFonts w:hint="eastAsia" w:ascii="仿宋_GB2312" w:hAnsi="仿宋" w:eastAsiaTheme="minorEastAsia"/>
          <w:sz w:val="28"/>
          <w:szCs w:val="28"/>
        </w:rPr>
        <w:t>13</w:t>
      </w:r>
      <w:r>
        <w:rPr>
          <w:rFonts w:ascii="仿宋_GB2312" w:hAnsi="仿宋" w:eastAsia="仿宋_GB2312"/>
          <w:sz w:val="28"/>
          <w:szCs w:val="28"/>
        </w:rPr>
        <w:t>t的矿用自卸汽车。</w:t>
      </w:r>
    </w:p>
    <w:p>
      <w:pPr>
        <w:spacing w:line="480" w:lineRule="exact"/>
        <w:ind w:firstLine="562" w:firstLineChars="200"/>
        <w:rPr>
          <w:rFonts w:ascii="仿宋_GB2312" w:hAnsi="仿宋" w:eastAsia="仿宋_GB2312"/>
          <w:b/>
          <w:sz w:val="28"/>
          <w:szCs w:val="28"/>
        </w:rPr>
      </w:pPr>
      <w:r>
        <w:rPr>
          <w:rFonts w:ascii="仿宋_GB2312" w:hAnsi="仿宋" w:eastAsia="仿宋_GB2312"/>
          <w:b/>
          <w:sz w:val="28"/>
          <w:szCs w:val="28"/>
        </w:rPr>
        <w:t>5、采矿总平面布置</w:t>
      </w:r>
    </w:p>
    <w:p>
      <w:pPr>
        <w:autoSpaceDE w:val="0"/>
        <w:spacing w:line="480" w:lineRule="exact"/>
        <w:ind w:firstLine="560" w:firstLineChars="200"/>
        <w:rPr>
          <w:rFonts w:ascii="仿宋_GB2312" w:hAnsi="仿宋" w:eastAsiaTheme="minorEastAsia"/>
          <w:sz w:val="28"/>
          <w:szCs w:val="28"/>
        </w:rPr>
      </w:pPr>
      <w:r>
        <w:rPr>
          <w:rFonts w:ascii="仿宋_GB2312" w:hAnsi="仿宋" w:eastAsia="仿宋_GB2312"/>
          <w:sz w:val="28"/>
          <w:szCs w:val="28"/>
        </w:rPr>
        <w:t>矿山工业场</w:t>
      </w:r>
      <w:r>
        <w:rPr>
          <w:rFonts w:hint="eastAsia" w:ascii="仿宋_GB2312" w:hAnsi="仿宋" w:eastAsia="仿宋_GB2312"/>
          <w:sz w:val="28"/>
          <w:szCs w:val="28"/>
        </w:rPr>
        <w:t>地、生产和</w:t>
      </w:r>
      <w:r>
        <w:rPr>
          <w:rFonts w:ascii="仿宋_GB2312" w:hAnsi="仿宋" w:eastAsia="仿宋_GB2312"/>
          <w:sz w:val="28"/>
          <w:szCs w:val="28"/>
        </w:rPr>
        <w:t>办公生活设施已建成</w:t>
      </w:r>
      <w:r>
        <w:rPr>
          <w:rFonts w:hint="eastAsia" w:ascii="仿宋_GB2312" w:hAnsi="仿宋" w:eastAsia="仿宋_GB2312"/>
          <w:sz w:val="28"/>
          <w:szCs w:val="28"/>
        </w:rPr>
        <w:t>。工业场地</w:t>
      </w:r>
      <w:r>
        <w:rPr>
          <w:rFonts w:ascii="仿宋_GB2312" w:hAnsi="仿宋" w:eastAsia="仿宋_GB2312"/>
          <w:sz w:val="28"/>
          <w:szCs w:val="28"/>
        </w:rPr>
        <w:t>位于矿区</w:t>
      </w:r>
      <w:r>
        <w:rPr>
          <w:rFonts w:hint="eastAsia" w:ascii="仿宋_GB2312" w:hAnsi="仿宋" w:eastAsia="仿宋_GB2312"/>
          <w:sz w:val="28"/>
          <w:szCs w:val="28"/>
        </w:rPr>
        <w:t>外南东部沟谷较</w:t>
      </w:r>
      <w:r>
        <w:rPr>
          <w:rFonts w:ascii="仿宋_GB2312" w:hAnsi="仿宋" w:eastAsia="仿宋_GB2312"/>
          <w:sz w:val="28"/>
          <w:szCs w:val="28"/>
        </w:rPr>
        <w:t>平坦之处</w:t>
      </w:r>
      <w:r>
        <w:rPr>
          <w:rFonts w:hint="eastAsia" w:ascii="仿宋_GB2312" w:hAnsi="仿宋" w:eastAsia="仿宋_GB2312"/>
          <w:sz w:val="28"/>
          <w:szCs w:val="28"/>
        </w:rPr>
        <w:t>，工业场地</w:t>
      </w:r>
      <w:r>
        <w:rPr>
          <w:rFonts w:ascii="仿宋_GB2312" w:hAnsi="仿宋" w:eastAsia="仿宋_GB2312"/>
          <w:sz w:val="28"/>
          <w:szCs w:val="28"/>
        </w:rPr>
        <w:t>布置有破碎加工车间、</w:t>
      </w:r>
      <w:r>
        <w:rPr>
          <w:rFonts w:hint="eastAsia" w:ascii="仿宋_GB2312" w:hAnsi="仿宋" w:eastAsia="仿宋_GB2312"/>
          <w:sz w:val="28"/>
          <w:szCs w:val="28"/>
        </w:rPr>
        <w:t>料仓、</w:t>
      </w:r>
      <w:r>
        <w:rPr>
          <w:rFonts w:ascii="仿宋_GB2312" w:hAnsi="仿宋" w:eastAsia="仿宋_GB2312"/>
          <w:sz w:val="28"/>
          <w:szCs w:val="28"/>
        </w:rPr>
        <w:t>维修间、配电室</w:t>
      </w:r>
      <w:r>
        <w:rPr>
          <w:rFonts w:hint="eastAsia" w:ascii="仿宋_GB2312" w:hAnsi="仿宋" w:eastAsia="仿宋_GB2312"/>
          <w:sz w:val="28"/>
          <w:szCs w:val="28"/>
        </w:rPr>
        <w:t>、材料库</w:t>
      </w:r>
      <w:r>
        <w:rPr>
          <w:rFonts w:ascii="仿宋_GB2312" w:hAnsi="仿宋" w:eastAsia="仿宋_GB2312"/>
          <w:sz w:val="28"/>
          <w:szCs w:val="28"/>
        </w:rPr>
        <w:t>等</w:t>
      </w:r>
      <w:r>
        <w:rPr>
          <w:rFonts w:hint="eastAsia" w:ascii="仿宋_GB2312" w:hAnsi="仿宋" w:eastAsia="仿宋_GB2312"/>
          <w:sz w:val="28"/>
          <w:szCs w:val="28"/>
        </w:rPr>
        <w:t>生产</w:t>
      </w:r>
      <w:r>
        <w:rPr>
          <w:rFonts w:ascii="仿宋_GB2312" w:hAnsi="仿宋" w:eastAsia="仿宋_GB2312"/>
          <w:sz w:val="28"/>
          <w:szCs w:val="28"/>
        </w:rPr>
        <w:t>设施；办公生活区</w:t>
      </w:r>
      <w:r>
        <w:rPr>
          <w:rFonts w:hint="eastAsia" w:ascii="仿宋_GB2312" w:hAnsi="仿宋" w:eastAsia="仿宋_GB2312"/>
          <w:sz w:val="28"/>
          <w:szCs w:val="28"/>
        </w:rPr>
        <w:t>在工业场地西南，</w:t>
      </w:r>
      <w:r>
        <w:rPr>
          <w:rFonts w:ascii="仿宋_GB2312" w:hAnsi="仿宋" w:eastAsia="仿宋_GB2312"/>
          <w:sz w:val="28"/>
          <w:szCs w:val="28"/>
        </w:rPr>
        <w:t>布置有办公室、职工宿舍及食堂等</w:t>
      </w:r>
      <w:r>
        <w:rPr>
          <w:rFonts w:hint="eastAsia" w:ascii="仿宋_GB2312" w:hAnsi="仿宋" w:eastAsia="仿宋_GB2312"/>
          <w:sz w:val="28"/>
          <w:szCs w:val="28"/>
        </w:rPr>
        <w:t>；工业场地、排土场距采场直距约590m；爆破安全距离300m。</w:t>
      </w:r>
      <w:r>
        <w:rPr>
          <w:rFonts w:ascii="仿宋_GB2312" w:hAnsi="仿宋" w:eastAsia="仿宋_GB2312"/>
          <w:sz w:val="28"/>
          <w:szCs w:val="28"/>
        </w:rPr>
        <w:t>露天采场、工业场</w:t>
      </w:r>
      <w:r>
        <w:rPr>
          <w:rFonts w:hint="eastAsia" w:ascii="仿宋_GB2312" w:hAnsi="仿宋" w:eastAsia="仿宋_GB2312"/>
          <w:sz w:val="28"/>
          <w:szCs w:val="28"/>
        </w:rPr>
        <w:t>地</w:t>
      </w:r>
      <w:r>
        <w:rPr>
          <w:rFonts w:ascii="仿宋_GB2312" w:hAnsi="仿宋" w:eastAsia="仿宋_GB2312"/>
          <w:sz w:val="28"/>
          <w:szCs w:val="28"/>
        </w:rPr>
        <w:t>及办公生活区有矿区道路相连。</w:t>
      </w:r>
    </w:p>
    <w:p>
      <w:pPr>
        <w:spacing w:line="480" w:lineRule="exact"/>
        <w:ind w:firstLine="562" w:firstLineChars="200"/>
        <w:rPr>
          <w:rFonts w:ascii="仿宋_GB2312" w:hAnsi="仿宋" w:eastAsia="仿宋_GB2312"/>
          <w:b/>
          <w:sz w:val="28"/>
          <w:szCs w:val="28"/>
        </w:rPr>
      </w:pPr>
      <w:r>
        <w:rPr>
          <w:rFonts w:ascii="仿宋_GB2312" w:hAnsi="仿宋" w:eastAsia="仿宋_GB2312"/>
          <w:b/>
          <w:sz w:val="28"/>
          <w:szCs w:val="28"/>
        </w:rPr>
        <w:t>6、地质环境保护与恢复治理</w:t>
      </w:r>
    </w:p>
    <w:p>
      <w:pPr>
        <w:spacing w:line="48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根据矿山开采现状和开发利用方案设计的采矿活动及影响范围，包括露天采场、工业场地、废石渣土场地、矿区道路、开采边坡外延影响区等确定为评估区范围，面积为18.3452hm</w:t>
      </w:r>
      <w:r>
        <w:rPr>
          <w:rFonts w:hint="eastAsia" w:ascii="仿宋_GB2312" w:hAnsi="仿宋" w:eastAsia="仿宋_GB2312"/>
          <w:sz w:val="28"/>
          <w:szCs w:val="28"/>
          <w:vertAlign w:val="superscript"/>
        </w:rPr>
        <w:t>2</w:t>
      </w:r>
      <w:r>
        <w:rPr>
          <w:rFonts w:hint="eastAsia" w:ascii="仿宋_GB2312" w:hAnsi="仿宋" w:eastAsia="仿宋_GB2312"/>
          <w:sz w:val="28"/>
          <w:szCs w:val="28"/>
        </w:rPr>
        <w:t>。评估区重要程度分级为重要区，矿山地质环境条件复杂程度分级为中等类型，矿山生产建设规模为小型，矿山地质环境影响评估分级为一级。</w:t>
      </w:r>
    </w:p>
    <w:p>
      <w:pPr>
        <w:spacing w:line="480" w:lineRule="exact"/>
        <w:ind w:firstLine="560" w:firstLineChars="200"/>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该矿为基建矿山，矿区内没有采矿活动、没有形成露天采坑，工业场地及办公生活区基本建成，总面积为1.9374hm</w:t>
      </w:r>
      <w:r>
        <w:rPr>
          <w:rFonts w:hint="eastAsia" w:ascii="仿宋_GB2312" w:hAnsi="仿宋" w:eastAsia="仿宋_GB2312"/>
          <w:sz w:val="28"/>
          <w:szCs w:val="28"/>
          <w:vertAlign w:val="superscript"/>
        </w:rPr>
        <w:t>2</w:t>
      </w:r>
      <w:r>
        <w:rPr>
          <w:rFonts w:hint="eastAsia" w:ascii="仿宋_GB2312" w:hAnsi="仿宋" w:eastAsia="仿宋_GB2312"/>
          <w:sz w:val="28"/>
          <w:szCs w:val="28"/>
        </w:rPr>
        <w:t>，形成边坡最大高度约25m、坡度60—70°。现状调查评估区内露天采场和工业场地建设引发的崩塌、滑坡、泥石流、地面塌陷、地裂缝等地质灾害发育程度弱、危害程度小、危险性小，影响程度划分为较轻区；对含水层的影响程度划分为较轻区；对原生的地形地貌景观影响和破坏程度划分为严重区、较严重区、较轻区；对土地资源的破坏程度划分为较严重区、较轻区。</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《方案》采用定性评判和比较分析方法，预测评估区内矿山开发利用活动引发的地质灾害影响程度为较轻区（18.3452hm</w:t>
      </w:r>
      <w:r>
        <w:rPr>
          <w:rFonts w:hint="eastAsia" w:ascii="仿宋_GB2312" w:hAnsi="仿宋" w:eastAsia="仿宋_GB2312"/>
          <w:sz w:val="28"/>
          <w:szCs w:val="28"/>
          <w:vertAlign w:val="superscript"/>
        </w:rPr>
        <w:t>2</w:t>
      </w:r>
      <w:r>
        <w:rPr>
          <w:rFonts w:hint="eastAsia" w:ascii="仿宋_GB2312" w:hAnsi="仿宋" w:eastAsia="仿宋_GB2312"/>
          <w:sz w:val="28"/>
          <w:szCs w:val="28"/>
        </w:rPr>
        <w:t>）。对含水层的影响程度为较轻区（18.3452hm</w:t>
      </w:r>
      <w:r>
        <w:rPr>
          <w:rFonts w:hint="eastAsia" w:ascii="仿宋_GB2312" w:hAnsi="仿宋" w:eastAsia="仿宋_GB2312"/>
          <w:sz w:val="28"/>
          <w:szCs w:val="28"/>
          <w:vertAlign w:val="superscript"/>
        </w:rPr>
        <w:t>2</w:t>
      </w:r>
      <w:r>
        <w:rPr>
          <w:rFonts w:hint="eastAsia" w:ascii="仿宋_GB2312" w:hAnsi="仿宋" w:eastAsia="仿宋_GB2312"/>
          <w:sz w:val="28"/>
          <w:szCs w:val="28"/>
        </w:rPr>
        <w:t>）。预测开采终了后的露天采场、排渣土场地、工业场地等对原生的地形地貌景观影响和破坏程度为严重区（12.2102hm</w:t>
      </w:r>
      <w:r>
        <w:rPr>
          <w:rFonts w:hint="eastAsia" w:ascii="仿宋_GB2312" w:hAnsi="仿宋" w:eastAsia="仿宋_GB2312"/>
          <w:sz w:val="28"/>
          <w:szCs w:val="28"/>
          <w:vertAlign w:val="superscript"/>
        </w:rPr>
        <w:t>2</w:t>
      </w:r>
      <w:r>
        <w:rPr>
          <w:rFonts w:hint="eastAsia" w:ascii="仿宋_GB2312" w:hAnsi="仿宋" w:eastAsia="仿宋_GB2312"/>
          <w:sz w:val="28"/>
          <w:szCs w:val="28"/>
        </w:rPr>
        <w:t>）；矿区道路等对原生的地形地貌景观影响和破坏程度为较严重区（0.7115hm</w:t>
      </w:r>
      <w:r>
        <w:rPr>
          <w:rFonts w:hint="eastAsia" w:ascii="仿宋_GB2312" w:hAnsi="仿宋" w:eastAsia="仿宋_GB2312"/>
          <w:sz w:val="28"/>
          <w:szCs w:val="28"/>
          <w:vertAlign w:val="superscript"/>
        </w:rPr>
        <w:t>2</w:t>
      </w:r>
      <w:r>
        <w:rPr>
          <w:rFonts w:hint="eastAsia" w:ascii="仿宋_GB2312" w:hAnsi="仿宋" w:eastAsia="仿宋_GB2312"/>
          <w:sz w:val="28"/>
          <w:szCs w:val="28"/>
        </w:rPr>
        <w:t>）；采场边坡影响外延区和其他区域对原生的地形地貌景观影响程度为较轻区（5.4235hm</w:t>
      </w:r>
      <w:r>
        <w:rPr>
          <w:rFonts w:hint="eastAsia" w:ascii="仿宋_GB2312" w:hAnsi="仿宋" w:eastAsia="仿宋_GB2312"/>
          <w:sz w:val="28"/>
          <w:szCs w:val="28"/>
          <w:vertAlign w:val="superscript"/>
        </w:rPr>
        <w:t>2</w:t>
      </w:r>
      <w:r>
        <w:rPr>
          <w:rFonts w:hint="eastAsia" w:ascii="仿宋_GB2312" w:hAnsi="仿宋" w:eastAsia="仿宋_GB2312"/>
          <w:sz w:val="28"/>
          <w:szCs w:val="28"/>
        </w:rPr>
        <w:t>）。预测矿区内露天采场对土地资源破坏程度为严重区（8.4800hm</w:t>
      </w:r>
      <w:r>
        <w:rPr>
          <w:rFonts w:hint="eastAsia" w:ascii="仿宋_GB2312" w:hAnsi="仿宋" w:eastAsia="仿宋_GB2312"/>
          <w:sz w:val="28"/>
          <w:szCs w:val="28"/>
          <w:vertAlign w:val="superscript"/>
        </w:rPr>
        <w:t>2</w:t>
      </w:r>
      <w:r>
        <w:rPr>
          <w:rFonts w:hint="eastAsia" w:ascii="仿宋_GB2312" w:hAnsi="仿宋" w:eastAsia="仿宋_GB2312"/>
          <w:sz w:val="28"/>
          <w:szCs w:val="28"/>
        </w:rPr>
        <w:t>）；工业场地、矿区道路等对土地资源破坏程度为较严重区（2.6489hm</w:t>
      </w:r>
      <w:r>
        <w:rPr>
          <w:rFonts w:hint="eastAsia" w:ascii="仿宋_GB2312" w:hAnsi="仿宋" w:eastAsia="仿宋_GB2312"/>
          <w:sz w:val="28"/>
          <w:szCs w:val="28"/>
          <w:vertAlign w:val="superscript"/>
        </w:rPr>
        <w:t>2</w:t>
      </w:r>
      <w:r>
        <w:rPr>
          <w:rFonts w:hint="eastAsia" w:ascii="仿宋_GB2312" w:hAnsi="仿宋" w:eastAsia="仿宋_GB2312"/>
          <w:sz w:val="28"/>
          <w:szCs w:val="28"/>
        </w:rPr>
        <w:t>）；排渣土场地、边坡影响外延区域等对土地资源破坏程度为较轻区（7.2163hm</w:t>
      </w:r>
      <w:r>
        <w:rPr>
          <w:rFonts w:hint="eastAsia" w:ascii="仿宋_GB2312" w:hAnsi="仿宋" w:eastAsia="仿宋_GB2312"/>
          <w:sz w:val="28"/>
          <w:szCs w:val="28"/>
          <w:vertAlign w:val="superscript"/>
        </w:rPr>
        <w:t>2</w:t>
      </w:r>
      <w:r>
        <w:rPr>
          <w:rFonts w:hint="eastAsia" w:ascii="仿宋_GB2312" w:hAnsi="仿宋" w:eastAsia="仿宋_GB2312"/>
          <w:sz w:val="28"/>
          <w:szCs w:val="28"/>
        </w:rPr>
        <w:t>）。</w:t>
      </w:r>
    </w:p>
    <w:p>
      <w:pPr>
        <w:spacing w:line="480" w:lineRule="exact"/>
        <w:ind w:firstLine="560" w:firstLineChars="200"/>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根据现状评估和预测评估结果，评估区矿山地质环境保护与治理恢复分区划分为重点防治区（12.2102hm</w:t>
      </w:r>
      <w:r>
        <w:rPr>
          <w:rFonts w:hint="eastAsia" w:ascii="仿宋_GB2312" w:hAnsi="仿宋" w:eastAsia="仿宋_GB2312"/>
          <w:sz w:val="28"/>
          <w:szCs w:val="28"/>
          <w:vertAlign w:val="superscript"/>
        </w:rPr>
        <w:t>2</w:t>
      </w:r>
      <w:r>
        <w:rPr>
          <w:rFonts w:hint="eastAsia" w:ascii="仿宋_GB2312" w:hAnsi="仿宋" w:eastAsia="仿宋_GB2312"/>
          <w:sz w:val="28"/>
          <w:szCs w:val="28"/>
        </w:rPr>
        <w:t>）、次重点防治区（0.7115hm</w:t>
      </w:r>
      <w:r>
        <w:rPr>
          <w:rFonts w:hint="eastAsia" w:ascii="仿宋_GB2312" w:hAnsi="仿宋" w:eastAsia="仿宋_GB2312"/>
          <w:sz w:val="28"/>
          <w:szCs w:val="28"/>
          <w:vertAlign w:val="superscript"/>
        </w:rPr>
        <w:t>2</w:t>
      </w:r>
      <w:r>
        <w:rPr>
          <w:rFonts w:hint="eastAsia" w:ascii="仿宋_GB2312" w:hAnsi="仿宋" w:eastAsia="仿宋_GB2312"/>
          <w:sz w:val="28"/>
          <w:szCs w:val="28"/>
        </w:rPr>
        <w:t>）、一般防治区（5.4235hm</w:t>
      </w:r>
      <w:r>
        <w:rPr>
          <w:rFonts w:hint="eastAsia" w:ascii="仿宋_GB2312" w:hAnsi="仿宋" w:eastAsia="仿宋_GB2312"/>
          <w:sz w:val="28"/>
          <w:szCs w:val="28"/>
          <w:vertAlign w:val="superscript"/>
        </w:rPr>
        <w:t>2</w:t>
      </w:r>
      <w:r>
        <w:rPr>
          <w:rFonts w:hint="eastAsia" w:ascii="仿宋_GB2312" w:hAnsi="仿宋" w:eastAsia="仿宋_GB2312"/>
          <w:sz w:val="28"/>
          <w:szCs w:val="28"/>
        </w:rPr>
        <w:t>）。其中露天采场重点防治亚区面积8.4800hm</w:t>
      </w:r>
      <w:r>
        <w:rPr>
          <w:rFonts w:hint="eastAsia" w:ascii="仿宋_GB2312" w:hAnsi="仿宋" w:eastAsia="仿宋_GB2312"/>
          <w:sz w:val="28"/>
          <w:szCs w:val="28"/>
          <w:vertAlign w:val="superscript"/>
        </w:rPr>
        <w:t>2</w:t>
      </w:r>
      <w:r>
        <w:rPr>
          <w:rFonts w:hint="eastAsia" w:ascii="仿宋_GB2312" w:hAnsi="仿宋" w:eastAsia="仿宋_GB2312"/>
          <w:sz w:val="28"/>
          <w:szCs w:val="28"/>
        </w:rPr>
        <w:t>，排渣土场地重点防治亚区面积1.7928hm</w:t>
      </w:r>
      <w:r>
        <w:rPr>
          <w:rFonts w:hint="eastAsia" w:ascii="仿宋_GB2312" w:hAnsi="仿宋" w:eastAsia="仿宋_GB2312"/>
          <w:sz w:val="28"/>
          <w:szCs w:val="28"/>
          <w:vertAlign w:val="superscript"/>
        </w:rPr>
        <w:t>2</w:t>
      </w:r>
      <w:r>
        <w:rPr>
          <w:rFonts w:hint="eastAsia" w:ascii="仿宋_GB2312" w:hAnsi="仿宋" w:eastAsia="仿宋_GB2312"/>
          <w:sz w:val="28"/>
          <w:szCs w:val="28"/>
        </w:rPr>
        <w:t>，工业场地重点防治亚区面积1.9374hm</w:t>
      </w:r>
      <w:r>
        <w:rPr>
          <w:rFonts w:hint="eastAsia" w:ascii="仿宋_GB2312" w:hAnsi="仿宋" w:eastAsia="仿宋_GB2312"/>
          <w:sz w:val="28"/>
          <w:szCs w:val="28"/>
          <w:vertAlign w:val="superscript"/>
        </w:rPr>
        <w:t>2</w:t>
      </w:r>
      <w:r>
        <w:rPr>
          <w:rFonts w:hint="eastAsia" w:ascii="仿宋_GB2312" w:hAnsi="仿宋" w:eastAsia="仿宋_GB2312"/>
          <w:sz w:val="28"/>
          <w:szCs w:val="28"/>
        </w:rPr>
        <w:t>；矿区道路为次重点防治亚区，面积0.7115hm</w:t>
      </w:r>
      <w:r>
        <w:rPr>
          <w:rFonts w:hint="eastAsia" w:ascii="仿宋_GB2312" w:hAnsi="仿宋" w:eastAsia="仿宋_GB2312"/>
          <w:sz w:val="28"/>
          <w:szCs w:val="28"/>
          <w:vertAlign w:val="superscript"/>
        </w:rPr>
        <w:t>2</w:t>
      </w:r>
      <w:r>
        <w:rPr>
          <w:rFonts w:hint="eastAsia" w:ascii="仿宋_GB2312" w:hAnsi="仿宋" w:eastAsia="仿宋_GB2312"/>
          <w:sz w:val="28"/>
          <w:szCs w:val="28"/>
        </w:rPr>
        <w:t>；边坡影响外延区域为一般防治区，面积5.4235hm</w:t>
      </w:r>
      <w:r>
        <w:rPr>
          <w:rFonts w:hint="eastAsia" w:ascii="仿宋_GB2312" w:hAnsi="仿宋" w:eastAsia="仿宋_GB2312"/>
          <w:sz w:val="28"/>
          <w:szCs w:val="28"/>
          <w:vertAlign w:val="superscript"/>
        </w:rPr>
        <w:t>2</w:t>
      </w:r>
      <w:r>
        <w:rPr>
          <w:rFonts w:hint="eastAsia" w:ascii="仿宋_GB2312" w:hAnsi="仿宋" w:eastAsia="仿宋_GB2312"/>
          <w:sz w:val="28"/>
          <w:szCs w:val="28"/>
        </w:rPr>
        <w:t>。《方案》评述了各防治分区的位置、范围、面积、主要矿山地质环境问题及影响程度、防治措施等。</w:t>
      </w:r>
    </w:p>
    <w:p>
      <w:pPr>
        <w:autoSpaceDE w:val="0"/>
        <w:spacing w:line="480" w:lineRule="exact"/>
        <w:ind w:firstLine="560" w:firstLineChars="200"/>
        <w:rPr>
          <w:rFonts w:ascii="仿宋_GB2312" w:hAnsi="仿宋" w:eastAsia="仿宋_GB2312"/>
          <w:sz w:val="28"/>
          <w:szCs w:val="28"/>
        </w:rPr>
      </w:pPr>
      <w:r>
        <w:rPr>
          <w:rFonts w:ascii="仿宋_GB2312" w:hAnsi="仿宋" w:eastAsia="仿宋_GB2312"/>
          <w:sz w:val="28"/>
          <w:szCs w:val="28"/>
        </w:rPr>
        <w:t>（4）《方案》</w:t>
      </w:r>
      <w:r>
        <w:rPr>
          <w:rFonts w:hint="eastAsia" w:ascii="仿宋_GB2312" w:hAnsi="仿宋" w:eastAsia="仿宋_GB2312"/>
          <w:sz w:val="28"/>
          <w:szCs w:val="28"/>
        </w:rPr>
        <w:t>预计矿山服务年限约13.5年，确定</w:t>
      </w:r>
      <w:r>
        <w:rPr>
          <w:rFonts w:ascii="仿宋_GB2312" w:hAnsi="仿宋" w:eastAsia="仿宋_GB2312"/>
          <w:sz w:val="28"/>
          <w:szCs w:val="28"/>
        </w:rPr>
        <w:t>矿山地质环境治理恢复</w:t>
      </w:r>
      <w:r>
        <w:rPr>
          <w:rFonts w:hint="eastAsia" w:ascii="仿宋_GB2312" w:hAnsi="仿宋" w:eastAsia="仿宋_GB2312"/>
          <w:sz w:val="28"/>
          <w:szCs w:val="28"/>
        </w:rPr>
        <w:t>及监测管护年限约为16.5年。</w:t>
      </w:r>
      <w:r>
        <w:rPr>
          <w:rFonts w:ascii="仿宋_GB2312" w:hAnsi="仿宋" w:eastAsia="仿宋_GB2312"/>
          <w:sz w:val="28"/>
          <w:szCs w:val="28"/>
        </w:rPr>
        <w:t>矿山</w:t>
      </w:r>
      <w:r>
        <w:rPr>
          <w:rFonts w:hint="eastAsia" w:ascii="仿宋_GB2312" w:hAnsi="仿宋" w:eastAsia="仿宋_GB2312"/>
          <w:sz w:val="28"/>
          <w:szCs w:val="28"/>
        </w:rPr>
        <w:t>总服务期</w:t>
      </w:r>
      <w:r>
        <w:rPr>
          <w:rFonts w:ascii="仿宋_GB2312" w:hAnsi="仿宋" w:eastAsia="仿宋_GB2312"/>
          <w:sz w:val="28"/>
          <w:szCs w:val="28"/>
        </w:rPr>
        <w:t>地质环境保护与治理恢复工程</w:t>
      </w:r>
      <w:r>
        <w:rPr>
          <w:rFonts w:hint="eastAsia" w:ascii="仿宋_GB2312" w:hAnsi="仿宋" w:eastAsia="仿宋_GB2312"/>
          <w:sz w:val="28"/>
          <w:szCs w:val="28"/>
        </w:rPr>
        <w:t>总费用：静态投资39.66</w:t>
      </w:r>
      <w:r>
        <w:rPr>
          <w:rFonts w:ascii="仿宋_GB2312" w:hAnsi="仿宋" w:eastAsia="仿宋_GB2312"/>
          <w:sz w:val="28"/>
          <w:szCs w:val="28"/>
        </w:rPr>
        <w:t>万元</w:t>
      </w:r>
      <w:r>
        <w:rPr>
          <w:rFonts w:hint="eastAsia" w:ascii="仿宋_GB2312" w:hAnsi="仿宋" w:eastAsia="仿宋_GB2312"/>
          <w:sz w:val="28"/>
          <w:szCs w:val="28"/>
        </w:rPr>
        <w:t>；动态投资78.59万元</w:t>
      </w:r>
      <w:r>
        <w:rPr>
          <w:rFonts w:ascii="仿宋_GB2312" w:hAnsi="仿宋" w:eastAsia="仿宋_GB2312"/>
          <w:sz w:val="28"/>
          <w:szCs w:val="28"/>
        </w:rPr>
        <w:t>。</w:t>
      </w:r>
    </w:p>
    <w:p>
      <w:pPr>
        <w:spacing w:line="480" w:lineRule="exact"/>
        <w:ind w:firstLine="562" w:firstLineChars="200"/>
        <w:rPr>
          <w:rFonts w:ascii="仿宋_GB2312" w:hAnsi="仿宋" w:eastAsia="仿宋_GB2312"/>
          <w:b/>
          <w:sz w:val="28"/>
          <w:szCs w:val="28"/>
        </w:rPr>
      </w:pPr>
      <w:r>
        <w:rPr>
          <w:rFonts w:ascii="仿宋_GB2312" w:hAnsi="仿宋" w:eastAsia="仿宋_GB2312"/>
          <w:b/>
          <w:sz w:val="28"/>
          <w:szCs w:val="28"/>
        </w:rPr>
        <w:t>7、土地复垦</w:t>
      </w:r>
    </w:p>
    <w:p>
      <w:pPr>
        <w:autoSpaceDE w:val="0"/>
        <w:spacing w:line="480" w:lineRule="exact"/>
        <w:ind w:firstLine="560" w:firstLineChars="200"/>
        <w:rPr>
          <w:rFonts w:ascii="仿宋_GB2312" w:hAnsi="仿宋" w:eastAsia="仿宋_GB2312"/>
          <w:sz w:val="28"/>
          <w:szCs w:val="28"/>
        </w:rPr>
      </w:pPr>
      <w:r>
        <w:rPr>
          <w:rFonts w:ascii="仿宋_GB2312" w:hAnsi="仿宋" w:eastAsia="仿宋_GB2312"/>
          <w:sz w:val="28"/>
          <w:szCs w:val="28"/>
        </w:rPr>
        <w:t>（1）通过对已破坏土地进行调查、面积勘测，《方案》对拟破坏土地进行了预测和分析，本项目区将损毁土地</w:t>
      </w:r>
      <w:r>
        <w:rPr>
          <w:rFonts w:hint="eastAsia" w:ascii="仿宋_GB2312" w:hAnsi="仿宋" w:eastAsiaTheme="minorEastAsia"/>
          <w:sz w:val="28"/>
          <w:szCs w:val="28"/>
        </w:rPr>
        <w:t>12.9217</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，其中：已损毁土地</w:t>
      </w:r>
      <w:r>
        <w:rPr>
          <w:rFonts w:hint="eastAsia" w:ascii="仿宋_GB2312" w:hAnsi="仿宋" w:eastAsia="仿宋_GB2312"/>
          <w:sz w:val="28"/>
          <w:szCs w:val="28"/>
        </w:rPr>
        <w:t>2.5877</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，拟损毁土地</w:t>
      </w:r>
      <w:r>
        <w:rPr>
          <w:rFonts w:hint="eastAsia" w:ascii="仿宋_GB2312" w:hAnsi="仿宋" w:eastAsiaTheme="minorEastAsia"/>
          <w:sz w:val="28"/>
          <w:szCs w:val="28"/>
        </w:rPr>
        <w:t>10.3340</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；其中：压占</w:t>
      </w:r>
      <w:r>
        <w:rPr>
          <w:rFonts w:hint="eastAsia" w:ascii="仿宋_GB2312" w:hAnsi="仿宋" w:eastAsiaTheme="minorEastAsia"/>
          <w:sz w:val="28"/>
          <w:szCs w:val="28"/>
        </w:rPr>
        <w:t>4.4769</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，挖损</w:t>
      </w:r>
      <w:r>
        <w:rPr>
          <w:rFonts w:hint="eastAsia" w:ascii="仿宋_GB2312" w:hAnsi="仿宋" w:eastAsia="仿宋_GB2312"/>
          <w:sz w:val="28"/>
          <w:szCs w:val="28"/>
        </w:rPr>
        <w:t>8.4448</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w:t>
      </w:r>
    </w:p>
    <w:p>
      <w:pPr>
        <w:autoSpaceDE w:val="0"/>
        <w:spacing w:line="480" w:lineRule="exact"/>
        <w:ind w:firstLine="560" w:firstLineChars="200"/>
        <w:rPr>
          <w:rFonts w:ascii="仿宋_GB2312" w:hAnsi="仿宋" w:eastAsia="仿宋_GB2312"/>
          <w:color w:val="FF0000"/>
          <w:sz w:val="28"/>
          <w:szCs w:val="28"/>
        </w:rPr>
      </w:pPr>
      <w:r>
        <w:rPr>
          <w:rFonts w:ascii="仿宋_GB2312" w:hAnsi="仿宋" w:eastAsia="仿宋_GB2312"/>
          <w:sz w:val="28"/>
          <w:szCs w:val="28"/>
        </w:rPr>
        <w:t>（2）《方案》确定了土地复垦目标和任务，复垦责任范围土地面积共</w:t>
      </w:r>
      <w:r>
        <w:rPr>
          <w:rFonts w:hint="eastAsia" w:ascii="仿宋_GB2312" w:hAnsi="仿宋" w:eastAsia="仿宋_GB2312"/>
          <w:sz w:val="28"/>
          <w:szCs w:val="28"/>
        </w:rPr>
        <w:t>12.9217</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，其中旱地面积</w:t>
      </w:r>
      <w:r>
        <w:rPr>
          <w:rFonts w:hint="eastAsia" w:ascii="仿宋_GB2312" w:hAnsi="仿宋" w:eastAsia="仿宋_GB2312"/>
          <w:sz w:val="28"/>
          <w:szCs w:val="28"/>
        </w:rPr>
        <w:t>0.0178</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w:t>
      </w:r>
      <w:r>
        <w:rPr>
          <w:rFonts w:hint="eastAsia" w:ascii="仿宋_GB2312" w:hAnsi="仿宋" w:eastAsia="仿宋_GB2312"/>
          <w:sz w:val="28"/>
          <w:szCs w:val="28"/>
        </w:rPr>
        <w:t>其</w:t>
      </w:r>
      <w:r>
        <w:rPr>
          <w:rFonts w:ascii="仿宋_GB2312" w:hAnsi="仿宋" w:eastAsia="仿宋_GB2312"/>
          <w:sz w:val="28"/>
          <w:szCs w:val="28"/>
        </w:rPr>
        <w:t>他草地面积</w:t>
      </w:r>
      <w:r>
        <w:rPr>
          <w:rFonts w:hint="eastAsia" w:ascii="仿宋_GB2312" w:hAnsi="仿宋" w:eastAsia="仿宋_GB2312"/>
          <w:sz w:val="28"/>
          <w:szCs w:val="28"/>
        </w:rPr>
        <w:t>11.7373</w:t>
      </w:r>
      <w:r>
        <w:rPr>
          <w:rFonts w:ascii="仿宋_GB2312" w:hAnsi="仿宋" w:eastAsia="仿宋_GB2312"/>
          <w:sz w:val="28"/>
          <w:szCs w:val="28"/>
        </w:rPr>
        <w:t>hm</w:t>
      </w:r>
      <w:r>
        <w:rPr>
          <w:rFonts w:ascii="仿宋_GB2312" w:hAnsi="仿宋" w:eastAsia="仿宋_GB2312"/>
          <w:sz w:val="28"/>
          <w:szCs w:val="28"/>
          <w:vertAlign w:val="superscript"/>
        </w:rPr>
        <w:t>2</w:t>
      </w:r>
      <w:r>
        <w:rPr>
          <w:rFonts w:hint="eastAsia" w:ascii="仿宋_GB2312" w:hAnsi="仿宋" w:eastAsia="仿宋_GB2312"/>
          <w:sz w:val="28"/>
          <w:szCs w:val="28"/>
        </w:rPr>
        <w:t>，果园面积0.0756hm</w:t>
      </w:r>
      <w:r>
        <w:rPr>
          <w:rFonts w:hint="eastAsia" w:ascii="仿宋_GB2312" w:hAnsi="仿宋" w:eastAsia="仿宋_GB2312"/>
          <w:sz w:val="28"/>
          <w:szCs w:val="28"/>
          <w:vertAlign w:val="superscript"/>
        </w:rPr>
        <w:t>2</w:t>
      </w:r>
      <w:r>
        <w:rPr>
          <w:rFonts w:hint="eastAsia" w:ascii="仿宋_GB2312" w:hAnsi="仿宋" w:eastAsia="仿宋_GB2312"/>
          <w:sz w:val="28"/>
          <w:szCs w:val="28"/>
        </w:rPr>
        <w:t>，田坎面积0.0034</w:t>
      </w:r>
      <w:r>
        <w:rPr>
          <w:rFonts w:ascii="仿宋_GB2312" w:hAnsi="仿宋" w:eastAsia="仿宋_GB2312"/>
          <w:sz w:val="28"/>
          <w:szCs w:val="28"/>
        </w:rPr>
        <w:t>hm</w:t>
      </w:r>
      <w:r>
        <w:rPr>
          <w:rFonts w:ascii="仿宋_GB2312" w:hAnsi="仿宋" w:eastAsia="仿宋_GB2312"/>
          <w:sz w:val="28"/>
          <w:szCs w:val="28"/>
          <w:vertAlign w:val="superscript"/>
        </w:rPr>
        <w:t>2</w:t>
      </w:r>
      <w:r>
        <w:rPr>
          <w:rFonts w:hint="eastAsia" w:ascii="仿宋_GB2312" w:hAnsi="仿宋" w:eastAsia="仿宋_GB2312"/>
          <w:sz w:val="28"/>
          <w:szCs w:val="28"/>
        </w:rPr>
        <w:t>，采矿用地面积0.6502hm</w:t>
      </w:r>
      <w:r>
        <w:rPr>
          <w:rFonts w:hint="eastAsia" w:ascii="仿宋_GB2312" w:hAnsi="仿宋" w:eastAsia="仿宋_GB2312"/>
          <w:sz w:val="28"/>
          <w:szCs w:val="28"/>
          <w:vertAlign w:val="superscript"/>
        </w:rPr>
        <w:t>2</w:t>
      </w:r>
      <w:r>
        <w:rPr>
          <w:rFonts w:hint="eastAsia" w:ascii="仿宋_GB2312" w:hAnsi="仿宋" w:eastAsia="仿宋_GB2312"/>
          <w:sz w:val="28"/>
          <w:szCs w:val="28"/>
        </w:rPr>
        <w:t>，农村道路面积0.4374hm</w:t>
      </w:r>
      <w:r>
        <w:rPr>
          <w:rFonts w:hint="eastAsia" w:ascii="仿宋_GB2312" w:hAnsi="仿宋" w:eastAsia="仿宋_GB2312"/>
          <w:sz w:val="28"/>
          <w:szCs w:val="28"/>
          <w:vertAlign w:val="superscript"/>
        </w:rPr>
        <w:t>2</w:t>
      </w:r>
      <w:r>
        <w:rPr>
          <w:rFonts w:hint="eastAsia" w:ascii="仿宋_GB2312" w:hAnsi="仿宋" w:eastAsia="仿宋_GB2312"/>
          <w:sz w:val="28"/>
          <w:szCs w:val="28"/>
        </w:rPr>
        <w:t>。</w:t>
      </w:r>
      <w:r>
        <w:rPr>
          <w:rFonts w:ascii="仿宋_GB2312" w:hAnsi="仿宋" w:eastAsia="仿宋_GB2312"/>
          <w:sz w:val="28"/>
          <w:szCs w:val="28"/>
        </w:rPr>
        <w:t>将</w:t>
      </w:r>
      <w:r>
        <w:rPr>
          <w:rFonts w:hint="eastAsia" w:ascii="仿宋_GB2312" w:hAnsi="仿宋" w:eastAsia="仿宋_GB2312"/>
          <w:sz w:val="28"/>
          <w:szCs w:val="28"/>
        </w:rPr>
        <w:t>开采区露天采场底部、工业场地复垦为旱地和农村道路；露天采场边坡、台阶复垦为灌木林地；排土场复垦为旱地和灌木林地；矿区道路复垦为灌木林地和农村道路；矿区内改线道路复垦为农村道路</w:t>
      </w:r>
      <w:r>
        <w:rPr>
          <w:rFonts w:ascii="仿宋_GB2312" w:hAnsi="仿宋" w:eastAsia="仿宋_GB2312"/>
          <w:sz w:val="28"/>
          <w:szCs w:val="28"/>
        </w:rPr>
        <w:t>。</w:t>
      </w:r>
    </w:p>
    <w:p>
      <w:pPr>
        <w:autoSpaceDE w:val="0"/>
        <w:spacing w:line="480" w:lineRule="exact"/>
        <w:ind w:firstLine="560" w:firstLineChars="200"/>
        <w:rPr>
          <w:rFonts w:ascii="仿宋_GB2312" w:hAnsi="仿宋" w:eastAsia="仿宋_GB2312"/>
          <w:sz w:val="28"/>
          <w:szCs w:val="28"/>
        </w:rPr>
      </w:pPr>
      <w:r>
        <w:rPr>
          <w:rFonts w:ascii="仿宋_GB2312" w:hAnsi="仿宋" w:eastAsia="仿宋_GB2312"/>
          <w:sz w:val="28"/>
          <w:szCs w:val="28"/>
        </w:rPr>
        <w:t>（3）通过实施预防控制及复</w:t>
      </w:r>
      <w:r>
        <w:rPr>
          <w:rFonts w:hint="eastAsia" w:ascii="仿宋_GB2312" w:hAnsi="仿宋" w:eastAsia="仿宋_GB2312"/>
          <w:sz w:val="28"/>
          <w:szCs w:val="28"/>
        </w:rPr>
        <w:t>垦措施、工程技术及生物化学措施，使项目区土地达到复垦的标准和要求。复垦土</w:t>
      </w:r>
      <w:r>
        <w:rPr>
          <w:rFonts w:ascii="仿宋_GB2312" w:hAnsi="仿宋" w:eastAsia="仿宋_GB2312"/>
          <w:sz w:val="28"/>
          <w:szCs w:val="28"/>
        </w:rPr>
        <w:t>地</w:t>
      </w:r>
      <w:r>
        <w:rPr>
          <w:rFonts w:hint="eastAsia" w:ascii="仿宋_GB2312" w:hAnsi="仿宋" w:eastAsia="仿宋_GB2312"/>
          <w:sz w:val="28"/>
          <w:szCs w:val="28"/>
        </w:rPr>
        <w:t>12.9217</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，复垦率</w:t>
      </w:r>
      <w:r>
        <w:rPr>
          <w:rFonts w:hint="eastAsia" w:ascii="仿宋_GB2312" w:hAnsi="仿宋" w:eastAsia="仿宋_GB2312"/>
          <w:sz w:val="28"/>
          <w:szCs w:val="28"/>
        </w:rPr>
        <w:t>100</w:t>
      </w:r>
      <w:r>
        <w:rPr>
          <w:rFonts w:ascii="仿宋_GB2312" w:hAnsi="仿宋" w:eastAsia="仿宋_GB2312"/>
          <w:sz w:val="28"/>
          <w:szCs w:val="28"/>
        </w:rPr>
        <w:t>%，其中复垦为</w:t>
      </w:r>
      <w:r>
        <w:rPr>
          <w:rFonts w:hint="eastAsia" w:ascii="仿宋_GB2312" w:hAnsi="仿宋" w:eastAsia="仿宋_GB2312"/>
          <w:sz w:val="28"/>
          <w:szCs w:val="28"/>
        </w:rPr>
        <w:t>旱</w:t>
      </w:r>
      <w:r>
        <w:rPr>
          <w:rFonts w:ascii="仿宋_GB2312" w:hAnsi="仿宋" w:eastAsia="仿宋_GB2312"/>
          <w:sz w:val="28"/>
          <w:szCs w:val="28"/>
        </w:rPr>
        <w:t>地</w:t>
      </w:r>
      <w:r>
        <w:rPr>
          <w:rFonts w:hint="eastAsia" w:ascii="仿宋_GB2312" w:hAnsi="仿宋" w:eastAsia="仿宋_GB2312"/>
          <w:sz w:val="28"/>
          <w:szCs w:val="28"/>
        </w:rPr>
        <w:t>6.9005</w:t>
      </w:r>
      <w:r>
        <w:rPr>
          <w:rFonts w:ascii="仿宋_GB2312" w:hAnsi="仿宋" w:eastAsia="仿宋_GB2312"/>
          <w:sz w:val="28"/>
          <w:szCs w:val="28"/>
        </w:rPr>
        <w:t>hm</w:t>
      </w:r>
      <w:r>
        <w:rPr>
          <w:rFonts w:ascii="仿宋_GB2312" w:hAnsi="仿宋" w:eastAsia="仿宋_GB2312"/>
          <w:sz w:val="28"/>
          <w:szCs w:val="28"/>
          <w:vertAlign w:val="superscript"/>
        </w:rPr>
        <w:t>2</w:t>
      </w:r>
      <w:r>
        <w:rPr>
          <w:rFonts w:ascii="仿宋_GB2312" w:hAnsi="仿宋" w:eastAsia="仿宋_GB2312"/>
          <w:sz w:val="28"/>
          <w:szCs w:val="28"/>
        </w:rPr>
        <w:t>，</w:t>
      </w:r>
      <w:r>
        <w:rPr>
          <w:rFonts w:hint="eastAsia" w:ascii="仿宋_GB2312" w:hAnsi="仿宋" w:eastAsia="仿宋_GB2312"/>
          <w:sz w:val="28"/>
          <w:szCs w:val="28"/>
        </w:rPr>
        <w:t>灌木林地4.9204hm</w:t>
      </w:r>
      <w:r>
        <w:rPr>
          <w:rFonts w:hint="eastAsia" w:ascii="仿宋_GB2312" w:hAnsi="仿宋" w:eastAsia="仿宋_GB2312"/>
          <w:sz w:val="28"/>
          <w:szCs w:val="28"/>
          <w:vertAlign w:val="superscript"/>
        </w:rPr>
        <w:t>2</w:t>
      </w:r>
      <w:r>
        <w:rPr>
          <w:rFonts w:hint="eastAsia" w:ascii="仿宋_GB2312" w:hAnsi="仿宋" w:eastAsia="仿宋_GB2312"/>
          <w:sz w:val="28"/>
          <w:szCs w:val="28"/>
        </w:rPr>
        <w:t>，农村道路1.1008hm</w:t>
      </w:r>
      <w:r>
        <w:rPr>
          <w:rFonts w:hint="eastAsia" w:ascii="仿宋_GB2312" w:hAnsi="仿宋" w:eastAsia="仿宋_GB2312"/>
          <w:sz w:val="28"/>
          <w:szCs w:val="28"/>
          <w:vertAlign w:val="superscript"/>
        </w:rPr>
        <w:t>2</w:t>
      </w:r>
      <w:r>
        <w:rPr>
          <w:rFonts w:hint="eastAsia" w:ascii="仿宋_GB2312" w:hAnsi="仿宋" w:eastAsia="仿宋_GB2312"/>
          <w:sz w:val="28"/>
          <w:szCs w:val="28"/>
        </w:rPr>
        <w:t>。</w:t>
      </w:r>
    </w:p>
    <w:p>
      <w:pPr>
        <w:autoSpaceDE w:val="0"/>
        <w:spacing w:line="480" w:lineRule="exact"/>
        <w:ind w:firstLine="560" w:firstLineChars="200"/>
        <w:rPr>
          <w:rFonts w:ascii="仿宋_GB2312" w:hAnsi="仿宋" w:eastAsia="仿宋_GB2312"/>
          <w:sz w:val="28"/>
          <w:szCs w:val="28"/>
        </w:rPr>
      </w:pPr>
      <w:r>
        <w:rPr>
          <w:rFonts w:ascii="仿宋_GB2312" w:hAnsi="仿宋" w:eastAsia="仿宋_GB2312"/>
          <w:sz w:val="28"/>
          <w:szCs w:val="28"/>
        </w:rPr>
        <w:t>（4）《方案》对土地复垦投资进行了估算，确定复垦</w:t>
      </w:r>
      <w:r>
        <w:rPr>
          <w:rFonts w:hint="eastAsia" w:ascii="仿宋_GB2312" w:hAnsi="仿宋" w:eastAsia="仿宋_GB2312"/>
          <w:sz w:val="28"/>
          <w:szCs w:val="28"/>
        </w:rPr>
        <w:t>费：</w:t>
      </w:r>
      <w:r>
        <w:rPr>
          <w:rFonts w:ascii="仿宋_GB2312" w:hAnsi="仿宋" w:eastAsia="仿宋_GB2312"/>
          <w:sz w:val="28"/>
          <w:szCs w:val="28"/>
        </w:rPr>
        <w:t>静态总投资</w:t>
      </w:r>
      <w:r>
        <w:rPr>
          <w:rFonts w:hint="eastAsia" w:ascii="仿宋_GB2312" w:hAnsi="仿宋" w:eastAsia="仿宋_GB2312"/>
          <w:sz w:val="28"/>
          <w:szCs w:val="28"/>
        </w:rPr>
        <w:t>143.19</w:t>
      </w:r>
      <w:r>
        <w:rPr>
          <w:rFonts w:ascii="仿宋_GB2312" w:hAnsi="仿宋" w:eastAsia="仿宋_GB2312"/>
          <w:sz w:val="28"/>
          <w:szCs w:val="28"/>
        </w:rPr>
        <w:t>万元，静态亩均投资</w:t>
      </w:r>
      <w:r>
        <w:rPr>
          <w:rFonts w:hint="eastAsia" w:ascii="仿宋_GB2312" w:hAnsi="仿宋" w:eastAsia="仿宋_GB2312"/>
          <w:sz w:val="28"/>
          <w:szCs w:val="28"/>
        </w:rPr>
        <w:t>约7388</w:t>
      </w:r>
      <w:r>
        <w:rPr>
          <w:rFonts w:ascii="仿宋_GB2312" w:hAnsi="仿宋" w:eastAsia="仿宋_GB2312"/>
          <w:sz w:val="28"/>
          <w:szCs w:val="28"/>
        </w:rPr>
        <w:t>元</w:t>
      </w:r>
      <w:r>
        <w:rPr>
          <w:rFonts w:hint="eastAsia" w:ascii="仿宋_GB2312" w:hAnsi="仿宋" w:eastAsia="仿宋_GB2312"/>
          <w:sz w:val="28"/>
          <w:szCs w:val="28"/>
        </w:rPr>
        <w:t>/亩</w:t>
      </w:r>
      <w:r>
        <w:rPr>
          <w:rFonts w:ascii="仿宋_GB2312" w:hAnsi="仿宋" w:eastAsia="仿宋_GB2312"/>
          <w:sz w:val="28"/>
          <w:szCs w:val="28"/>
        </w:rPr>
        <w:t>；动态总投资为</w:t>
      </w:r>
      <w:r>
        <w:rPr>
          <w:rFonts w:hint="eastAsia" w:ascii="仿宋_GB2312" w:hAnsi="仿宋" w:eastAsia="仿宋_GB2312"/>
          <w:sz w:val="28"/>
          <w:szCs w:val="28"/>
        </w:rPr>
        <w:t>293.71</w:t>
      </w:r>
      <w:r>
        <w:rPr>
          <w:rFonts w:ascii="仿宋_GB2312" w:hAnsi="仿宋" w:eastAsia="仿宋_GB2312"/>
          <w:sz w:val="28"/>
          <w:szCs w:val="28"/>
        </w:rPr>
        <w:t>万元，动态亩均投资为</w:t>
      </w:r>
      <w:r>
        <w:rPr>
          <w:rFonts w:hint="eastAsia" w:ascii="仿宋_GB2312" w:hAnsi="仿宋" w:eastAsia="仿宋_GB2312"/>
          <w:sz w:val="28"/>
          <w:szCs w:val="28"/>
        </w:rPr>
        <w:t>15153</w:t>
      </w:r>
      <w:r>
        <w:rPr>
          <w:rFonts w:ascii="仿宋_GB2312" w:hAnsi="仿宋" w:eastAsia="仿宋_GB2312"/>
          <w:sz w:val="28"/>
          <w:szCs w:val="28"/>
        </w:rPr>
        <w:t>元</w:t>
      </w:r>
      <w:r>
        <w:rPr>
          <w:rFonts w:hint="eastAsia" w:ascii="仿宋_GB2312" w:hAnsi="仿宋" w:eastAsia="仿宋_GB2312"/>
          <w:sz w:val="28"/>
          <w:szCs w:val="28"/>
        </w:rPr>
        <w:t>/亩</w:t>
      </w:r>
      <w:r>
        <w:rPr>
          <w:rFonts w:ascii="仿宋_GB2312" w:hAnsi="仿宋" w:eastAsia="仿宋_GB2312"/>
          <w:sz w:val="28"/>
          <w:szCs w:val="28"/>
        </w:rPr>
        <w:t>。经精心组织实施，可取得较好的经济效益、社会效益和生态效益。</w:t>
      </w:r>
    </w:p>
    <w:p>
      <w:pPr>
        <w:autoSpaceDE w:val="0"/>
        <w:spacing w:line="480" w:lineRule="exact"/>
        <w:ind w:firstLine="560" w:firstLineChars="200"/>
        <w:rPr>
          <w:rFonts w:ascii="仿宋_GB2312" w:hAnsi="仿宋" w:eastAsia="仿宋_GB2312"/>
          <w:sz w:val="28"/>
          <w:szCs w:val="28"/>
        </w:rPr>
      </w:pPr>
      <w:r>
        <w:rPr>
          <w:rFonts w:ascii="仿宋_GB2312" w:hAnsi="仿宋" w:eastAsia="仿宋_GB2312"/>
          <w:sz w:val="28"/>
          <w:szCs w:val="28"/>
        </w:rPr>
        <w:t>（5）《方案》确定了土地复垦工作计划和保障措施，复垦后恢复旱地面积</w:t>
      </w:r>
      <w:r>
        <w:rPr>
          <w:rFonts w:hint="eastAsia" w:ascii="仿宋_GB2312" w:hAnsi="仿宋" w:eastAsia="仿宋_GB2312"/>
          <w:sz w:val="28"/>
          <w:szCs w:val="28"/>
        </w:rPr>
        <w:t>6.9005</w:t>
      </w:r>
      <w:r>
        <w:rPr>
          <w:rFonts w:ascii="仿宋_GB2312" w:hAnsi="仿宋" w:eastAsia="仿宋_GB2312"/>
          <w:sz w:val="28"/>
          <w:szCs w:val="28"/>
        </w:rPr>
        <w:t>hm</w:t>
      </w:r>
      <w:r>
        <w:rPr>
          <w:rFonts w:ascii="仿宋_GB2312" w:hAnsi="仿宋" w:eastAsia="仿宋_GB2312"/>
          <w:sz w:val="28"/>
          <w:szCs w:val="28"/>
          <w:vertAlign w:val="superscript"/>
        </w:rPr>
        <w:t>2</w:t>
      </w:r>
      <w:r>
        <w:rPr>
          <w:rFonts w:hint="eastAsia" w:ascii="仿宋_GB2312" w:hAnsi="仿宋" w:eastAsia="仿宋_GB2312"/>
          <w:sz w:val="28"/>
          <w:szCs w:val="28"/>
        </w:rPr>
        <w:t>。</w:t>
      </w:r>
      <w:r>
        <w:rPr>
          <w:rFonts w:ascii="仿宋_GB2312" w:hAnsi="仿宋" w:eastAsia="仿宋_GB2312"/>
          <w:sz w:val="28"/>
          <w:szCs w:val="28"/>
        </w:rPr>
        <w:t>旱地经济效益按估算</w:t>
      </w:r>
      <w:r>
        <w:rPr>
          <w:rFonts w:hint="eastAsia" w:ascii="仿宋_GB2312" w:hAnsi="仿宋" w:eastAsia="仿宋_GB2312"/>
          <w:sz w:val="28"/>
          <w:szCs w:val="28"/>
        </w:rPr>
        <w:t>8000</w:t>
      </w:r>
      <w:r>
        <w:rPr>
          <w:rFonts w:ascii="仿宋_GB2312" w:hAnsi="仿宋" w:eastAsia="仿宋_GB2312"/>
          <w:sz w:val="28"/>
          <w:szCs w:val="28"/>
        </w:rPr>
        <w:t>元/hm</w:t>
      </w:r>
      <w:r>
        <w:rPr>
          <w:rFonts w:ascii="仿宋_GB2312" w:hAnsi="仿宋" w:eastAsia="仿宋_GB2312"/>
          <w:sz w:val="28"/>
          <w:szCs w:val="28"/>
          <w:vertAlign w:val="superscript"/>
        </w:rPr>
        <w:t>2</w:t>
      </w:r>
      <w:r>
        <w:rPr>
          <w:rFonts w:ascii="仿宋_GB2312" w:hAnsi="仿宋" w:eastAsia="仿宋_GB2312"/>
          <w:sz w:val="28"/>
          <w:szCs w:val="28"/>
        </w:rPr>
        <w:t>，</w:t>
      </w:r>
      <w:r>
        <w:rPr>
          <w:rFonts w:hint="eastAsia" w:ascii="仿宋_GB2312" w:hAnsi="仿宋" w:eastAsia="仿宋_GB2312"/>
          <w:sz w:val="28"/>
          <w:szCs w:val="28"/>
        </w:rPr>
        <w:t>复</w:t>
      </w:r>
      <w:r>
        <w:rPr>
          <w:rFonts w:ascii="仿宋_GB2312" w:hAnsi="仿宋" w:eastAsia="仿宋_GB2312"/>
          <w:sz w:val="28"/>
          <w:szCs w:val="28"/>
        </w:rPr>
        <w:t>垦后每年可产生的经济效益共计为</w:t>
      </w:r>
      <w:r>
        <w:rPr>
          <w:rFonts w:hint="eastAsia" w:ascii="仿宋_GB2312" w:hAnsi="仿宋" w:eastAsia="仿宋_GB2312"/>
          <w:sz w:val="28"/>
          <w:szCs w:val="28"/>
        </w:rPr>
        <w:t>5.52</w:t>
      </w:r>
      <w:r>
        <w:rPr>
          <w:rFonts w:ascii="仿宋_GB2312" w:hAnsi="仿宋" w:eastAsia="仿宋_GB2312"/>
          <w:sz w:val="28"/>
          <w:szCs w:val="28"/>
        </w:rPr>
        <w:t>万元。</w:t>
      </w:r>
    </w:p>
    <w:p>
      <w:pPr>
        <w:adjustRightInd w:val="0"/>
        <w:snapToGrid w:val="0"/>
        <w:spacing w:beforeLines="100" w:line="360" w:lineRule="auto"/>
        <w:ind w:firstLine="602" w:firstLineChars="200"/>
        <w:rPr>
          <w:rFonts w:ascii="楷体_GB2312" w:eastAsia="楷体_GB2312"/>
          <w:b/>
          <w:bCs/>
          <w:sz w:val="30"/>
          <w:szCs w:val="30"/>
        </w:rPr>
      </w:pPr>
      <w:r>
        <w:rPr>
          <w:rFonts w:ascii="楷体_GB2312" w:eastAsia="楷体_GB2312"/>
          <w:b/>
          <w:bCs/>
          <w:sz w:val="30"/>
          <w:szCs w:val="30"/>
        </w:rPr>
        <w:t>三、评审意见</w:t>
      </w:r>
    </w:p>
    <w:p>
      <w:pPr>
        <w:autoSpaceDE w:val="0"/>
        <w:spacing w:line="49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山西省襄垣县首钢长治钢铁有限公司襄垣熔剂分公司熔剂</w:t>
      </w:r>
      <w:r>
        <w:rPr>
          <w:rFonts w:ascii="仿宋_GB2312" w:hAnsi="仿宋" w:eastAsia="仿宋_GB2312"/>
          <w:sz w:val="28"/>
          <w:szCs w:val="28"/>
        </w:rPr>
        <w:t>用</w:t>
      </w:r>
      <w:r>
        <w:rPr>
          <w:rFonts w:hint="eastAsia" w:ascii="仿宋_GB2312" w:hAnsi="仿宋" w:eastAsia="仿宋_GB2312"/>
          <w:sz w:val="28"/>
          <w:szCs w:val="28"/>
        </w:rPr>
        <w:t>石</w:t>
      </w:r>
      <w:r>
        <w:rPr>
          <w:rFonts w:ascii="仿宋_GB2312" w:hAnsi="仿宋" w:eastAsia="仿宋_GB2312"/>
          <w:sz w:val="28"/>
          <w:szCs w:val="28"/>
        </w:rPr>
        <w:t>灰岩矿山矿产资源开发利用、地质环境保护与恢复治理、土地复垦方案》编制目的是为规划开采矿区范围内保有</w:t>
      </w:r>
      <w:r>
        <w:rPr>
          <w:rFonts w:hint="eastAsia" w:ascii="仿宋_GB2312" w:hAnsi="仿宋" w:eastAsia="仿宋_GB2312"/>
          <w:sz w:val="28"/>
          <w:szCs w:val="28"/>
        </w:rPr>
        <w:t>建筑石料</w:t>
      </w:r>
      <w:r>
        <w:rPr>
          <w:rFonts w:ascii="仿宋_GB2312" w:hAnsi="仿宋" w:eastAsia="仿宋_GB2312"/>
          <w:sz w:val="28"/>
          <w:szCs w:val="28"/>
        </w:rPr>
        <w:t>用石灰岩矿资源；有效保护矿山地质环境</w:t>
      </w:r>
      <w:r>
        <w:rPr>
          <w:rFonts w:hint="eastAsia" w:ascii="仿宋_GB2312" w:hAnsi="仿宋" w:eastAsia="仿宋_GB2312"/>
          <w:sz w:val="28"/>
          <w:szCs w:val="28"/>
        </w:rPr>
        <w:t>，绿色矿山建设</w:t>
      </w:r>
      <w:r>
        <w:rPr>
          <w:rFonts w:ascii="仿宋_GB2312" w:hAnsi="仿宋" w:eastAsia="仿宋_GB2312"/>
          <w:sz w:val="28"/>
          <w:szCs w:val="28"/>
        </w:rPr>
        <w:t>；落实十分珍惜、合理利用土地和切实保护耕地的基本国策，规范土地复垦活动。《方案》编制目的任务明确。</w:t>
      </w:r>
    </w:p>
    <w:p>
      <w:pPr>
        <w:autoSpaceDE w:val="0"/>
        <w:spacing w:line="490" w:lineRule="exact"/>
        <w:ind w:firstLine="560" w:firstLineChars="200"/>
        <w:rPr>
          <w:rFonts w:ascii="仿宋_GB2312" w:hAnsi="仿宋" w:eastAsia="仿宋_GB2312"/>
          <w:sz w:val="28"/>
          <w:szCs w:val="28"/>
        </w:rPr>
      </w:pPr>
      <w:r>
        <w:rPr>
          <w:rFonts w:ascii="仿宋_GB2312" w:hAnsi="仿宋" w:eastAsia="仿宋_GB2312"/>
          <w:sz w:val="28"/>
          <w:szCs w:val="28"/>
        </w:rPr>
        <w:t>2、《方案》所依据的《</w:t>
      </w:r>
      <w:r>
        <w:rPr>
          <w:rFonts w:hint="eastAsia" w:ascii="仿宋_GB2312" w:hAnsi="仿宋" w:eastAsia="仿宋_GB2312"/>
          <w:sz w:val="28"/>
          <w:szCs w:val="28"/>
        </w:rPr>
        <w:t>襄垣县070号矿区石灰岩资源储量核实报告</w:t>
      </w:r>
      <w:r>
        <w:rPr>
          <w:rFonts w:ascii="仿宋_GB2312" w:hAnsi="仿宋" w:eastAsia="仿宋_GB2312"/>
          <w:sz w:val="28"/>
          <w:szCs w:val="28"/>
        </w:rPr>
        <w:t>》</w:t>
      </w:r>
      <w:r>
        <w:rPr>
          <w:rFonts w:hint="eastAsia" w:ascii="仿宋_GB2312" w:hAnsi="仿宋" w:eastAsia="仿宋_GB2312"/>
          <w:sz w:val="28"/>
          <w:szCs w:val="28"/>
        </w:rPr>
        <w:t>，由</w:t>
      </w:r>
      <w:r>
        <w:rPr>
          <w:rFonts w:ascii="仿宋_GB2312" w:hAnsi="仿宋" w:eastAsia="仿宋_GB2312"/>
          <w:sz w:val="28"/>
          <w:szCs w:val="28"/>
        </w:rPr>
        <w:t>山西</w:t>
      </w:r>
      <w:r>
        <w:rPr>
          <w:rFonts w:hint="eastAsia" w:ascii="仿宋_GB2312" w:hAnsi="仿宋" w:eastAsia="仿宋_GB2312"/>
          <w:sz w:val="28"/>
          <w:szCs w:val="28"/>
        </w:rPr>
        <w:t>太行矿业工程技术有限公司编制</w:t>
      </w:r>
      <w:r>
        <w:rPr>
          <w:rFonts w:ascii="仿宋_GB2312" w:hAnsi="仿宋" w:eastAsia="仿宋_GB2312"/>
          <w:sz w:val="28"/>
          <w:szCs w:val="28"/>
        </w:rPr>
        <w:t>，由长治市矿产资源储量报告评审组评审通过，</w:t>
      </w:r>
      <w:r>
        <w:rPr>
          <w:rFonts w:hint="eastAsia" w:ascii="仿宋_GB2312" w:hAnsi="仿宋" w:eastAsia="仿宋_GB2312"/>
          <w:sz w:val="28"/>
          <w:szCs w:val="28"/>
        </w:rPr>
        <w:t>《核实报告》</w:t>
      </w:r>
      <w:r>
        <w:rPr>
          <w:rFonts w:ascii="仿宋_GB2312" w:hAnsi="仿宋" w:eastAsia="仿宋_GB2312"/>
          <w:sz w:val="28"/>
          <w:szCs w:val="28"/>
        </w:rPr>
        <w:t>提交的</w:t>
      </w:r>
      <w:r>
        <w:rPr>
          <w:rFonts w:hint="eastAsia" w:ascii="仿宋_GB2312" w:hAnsi="仿宋" w:eastAsia="仿宋_GB2312"/>
          <w:sz w:val="28"/>
          <w:szCs w:val="28"/>
        </w:rPr>
        <w:t>熔剂用石</w:t>
      </w:r>
      <w:r>
        <w:rPr>
          <w:rFonts w:ascii="仿宋_GB2312" w:hAnsi="仿宋" w:eastAsia="仿宋_GB2312"/>
          <w:sz w:val="28"/>
          <w:szCs w:val="28"/>
        </w:rPr>
        <w:t>灰岩矿资源量由</w:t>
      </w:r>
      <w:r>
        <w:rPr>
          <w:rFonts w:hint="eastAsia" w:ascii="仿宋_GB2312" w:hAnsi="仿宋" w:eastAsia="仿宋_GB2312"/>
          <w:sz w:val="28"/>
          <w:szCs w:val="28"/>
        </w:rPr>
        <w:t>原</w:t>
      </w:r>
      <w:r>
        <w:rPr>
          <w:rFonts w:ascii="仿宋_GB2312" w:hAnsi="仿宋" w:eastAsia="仿宋_GB2312"/>
          <w:sz w:val="28"/>
          <w:szCs w:val="28"/>
        </w:rPr>
        <w:t>长治市国土资源局登记备案。《方案》在此基础上，按照规划的开采方式和开拓部署，对设计利用资源量进行了圈定和估算，进而计算得出可采储量。在现有地质资料基础上，资源利用合理，可采储量计算基本正确。</w:t>
      </w:r>
    </w:p>
    <w:p>
      <w:pPr>
        <w:autoSpaceDE w:val="0"/>
        <w:spacing w:line="490" w:lineRule="exact"/>
        <w:ind w:firstLine="560" w:firstLineChars="200"/>
        <w:rPr>
          <w:rFonts w:ascii="仿宋_GB2312" w:hAnsi="仿宋" w:eastAsia="仿宋_GB2312"/>
          <w:sz w:val="28"/>
          <w:szCs w:val="28"/>
        </w:rPr>
      </w:pPr>
      <w:r>
        <w:rPr>
          <w:rFonts w:ascii="仿宋_GB2312" w:hAnsi="仿宋" w:eastAsia="仿宋_GB2312"/>
          <w:sz w:val="28"/>
          <w:szCs w:val="28"/>
        </w:rPr>
        <w:t>3、《方案》确定的露天开采方式合理。经生产能力</w:t>
      </w:r>
      <w:r>
        <w:rPr>
          <w:rFonts w:hint="eastAsia" w:ascii="仿宋_GB2312" w:hAnsi="仿宋" w:eastAsia="仿宋_GB2312"/>
          <w:sz w:val="28"/>
          <w:szCs w:val="28"/>
        </w:rPr>
        <w:t>论</w:t>
      </w:r>
      <w:r>
        <w:rPr>
          <w:rFonts w:ascii="仿宋_GB2312" w:hAnsi="仿宋" w:eastAsia="仿宋_GB2312"/>
          <w:sz w:val="28"/>
          <w:szCs w:val="28"/>
        </w:rPr>
        <w:t>证，推荐生产规模确定为</w:t>
      </w:r>
      <w:r>
        <w:rPr>
          <w:rFonts w:hint="eastAsia" w:ascii="仿宋_GB2312" w:hAnsi="仿宋" w:eastAsia="仿宋_GB2312"/>
          <w:sz w:val="28"/>
          <w:szCs w:val="28"/>
        </w:rPr>
        <w:t>45.00</w:t>
      </w:r>
      <w:r>
        <w:rPr>
          <w:rFonts w:ascii="仿宋_GB2312" w:hAnsi="仿宋" w:eastAsia="仿宋_GB2312"/>
          <w:sz w:val="28"/>
          <w:szCs w:val="28"/>
        </w:rPr>
        <w:t>万吨/年，矿山露天开采服务年限</w:t>
      </w:r>
      <w:r>
        <w:rPr>
          <w:rFonts w:hint="eastAsia" w:ascii="仿宋_GB2312" w:hAnsi="仿宋" w:eastAsia="仿宋_GB2312"/>
          <w:sz w:val="28"/>
          <w:szCs w:val="28"/>
        </w:rPr>
        <w:t>约</w:t>
      </w:r>
      <w:r>
        <w:rPr>
          <w:rFonts w:ascii="仿宋_GB2312" w:hAnsi="仿宋" w:eastAsia="仿宋_GB2312"/>
          <w:sz w:val="28"/>
          <w:szCs w:val="28"/>
        </w:rPr>
        <w:t>为</w:t>
      </w:r>
      <w:r>
        <w:rPr>
          <w:rFonts w:hint="eastAsia" w:ascii="仿宋_GB2312" w:hAnsi="仿宋" w:eastAsia="仿宋_GB2312"/>
          <w:sz w:val="28"/>
          <w:szCs w:val="28"/>
        </w:rPr>
        <w:t>13.5</w:t>
      </w:r>
      <w:r>
        <w:rPr>
          <w:rFonts w:ascii="仿宋_GB2312" w:hAnsi="仿宋" w:eastAsia="仿宋_GB2312"/>
          <w:sz w:val="28"/>
          <w:szCs w:val="28"/>
        </w:rPr>
        <w:t>年。在现有地质资料基础上，原矿生产规模确定基本合理。</w:t>
      </w:r>
    </w:p>
    <w:p>
      <w:pPr>
        <w:autoSpaceDE w:val="0"/>
        <w:spacing w:line="490" w:lineRule="exact"/>
        <w:ind w:firstLine="560" w:firstLineChars="200"/>
        <w:rPr>
          <w:rFonts w:ascii="仿宋_GB2312" w:hAnsi="仿宋" w:eastAsia="仿宋_GB2312"/>
          <w:sz w:val="28"/>
          <w:szCs w:val="28"/>
        </w:rPr>
      </w:pPr>
      <w:r>
        <w:rPr>
          <w:rFonts w:ascii="仿宋_GB2312" w:hAnsi="仿宋" w:eastAsia="仿宋_GB2312"/>
          <w:sz w:val="28"/>
          <w:szCs w:val="28"/>
        </w:rPr>
        <w:t>4、《方案》确定的</w:t>
      </w:r>
      <w:r>
        <w:rPr>
          <w:rFonts w:hint="eastAsia" w:ascii="仿宋_GB2312" w:hAnsi="仿宋" w:eastAsia="仿宋_GB2312"/>
          <w:sz w:val="28"/>
          <w:szCs w:val="28"/>
        </w:rPr>
        <w:t>回返式半壁堑沟</w:t>
      </w:r>
      <w:r>
        <w:rPr>
          <w:rFonts w:ascii="仿宋_GB2312" w:hAnsi="仿宋" w:eastAsia="仿宋_GB2312"/>
          <w:sz w:val="28"/>
          <w:szCs w:val="28"/>
        </w:rPr>
        <w:t>公路开拓、汽车运输方案基本可行；露天采矿场结构参数基本正确，推荐的“穿孔爆破—挖掘机、装载机</w:t>
      </w:r>
      <w:r>
        <w:rPr>
          <w:rFonts w:hint="eastAsia" w:ascii="仿宋_GB2312" w:hAnsi="仿宋" w:eastAsia="仿宋_GB2312"/>
          <w:sz w:val="28"/>
          <w:szCs w:val="28"/>
        </w:rPr>
        <w:t>铲</w:t>
      </w:r>
      <w:r>
        <w:rPr>
          <w:rFonts w:ascii="仿宋_GB2312" w:hAnsi="仿宋" w:eastAsia="仿宋_GB2312"/>
          <w:sz w:val="28"/>
          <w:szCs w:val="28"/>
        </w:rPr>
        <w:t>装—自卸汽车运输”剥采工艺合理可行。采场内采用分台阶下行式剥离、</w:t>
      </w:r>
      <w:r>
        <w:rPr>
          <w:rFonts w:hint="eastAsia" w:ascii="仿宋_GB2312" w:hAnsi="仿宋" w:eastAsia="仿宋_GB2312"/>
          <w:sz w:val="28"/>
          <w:szCs w:val="28"/>
        </w:rPr>
        <w:t>采矿</w:t>
      </w:r>
      <w:r>
        <w:rPr>
          <w:rFonts w:ascii="仿宋_GB2312" w:hAnsi="仿宋" w:eastAsia="仿宋_GB2312"/>
          <w:sz w:val="28"/>
          <w:szCs w:val="28"/>
        </w:rPr>
        <w:t>，规划的开采顺序基本合理。露天采场设计开采回采率为95%，资源利用合理。</w:t>
      </w:r>
    </w:p>
    <w:p>
      <w:pPr>
        <w:autoSpaceDE w:val="0"/>
        <w:spacing w:line="490" w:lineRule="exact"/>
        <w:ind w:firstLine="560" w:firstLineChars="200"/>
        <w:rPr>
          <w:rFonts w:ascii="仿宋_GB2312" w:hAnsi="仿宋" w:eastAsia="仿宋_GB2312"/>
          <w:sz w:val="28"/>
          <w:szCs w:val="28"/>
        </w:rPr>
      </w:pPr>
      <w:r>
        <w:rPr>
          <w:rFonts w:ascii="仿宋_GB2312" w:hAnsi="仿宋" w:eastAsia="仿宋_GB2312"/>
          <w:sz w:val="28"/>
          <w:szCs w:val="28"/>
        </w:rPr>
        <w:t>5、《方案》推荐的采矿设备基本合理</w:t>
      </w:r>
      <w:r>
        <w:rPr>
          <w:rFonts w:hint="eastAsia" w:ascii="仿宋_GB2312" w:hAnsi="仿宋" w:eastAsia="仿宋_GB2312"/>
          <w:sz w:val="28"/>
          <w:szCs w:val="28"/>
        </w:rPr>
        <w:t>；</w:t>
      </w:r>
      <w:r>
        <w:rPr>
          <w:rFonts w:ascii="仿宋_GB2312" w:hAnsi="仿宋" w:eastAsia="仿宋_GB2312"/>
          <w:sz w:val="28"/>
          <w:szCs w:val="28"/>
        </w:rPr>
        <w:t>地面生产、生活设施</w:t>
      </w:r>
      <w:r>
        <w:rPr>
          <w:rFonts w:hint="eastAsia" w:ascii="仿宋_GB2312" w:hAnsi="仿宋" w:eastAsia="仿宋_GB2312"/>
          <w:sz w:val="28"/>
          <w:szCs w:val="28"/>
        </w:rPr>
        <w:t>、防治水设施、措施、工业广场</w:t>
      </w:r>
      <w:r>
        <w:rPr>
          <w:rFonts w:ascii="仿宋_GB2312" w:hAnsi="仿宋" w:eastAsia="仿宋_GB2312"/>
          <w:sz w:val="28"/>
          <w:szCs w:val="28"/>
        </w:rPr>
        <w:t>及各种堆场</w:t>
      </w:r>
      <w:r>
        <w:rPr>
          <w:rFonts w:hint="eastAsia" w:ascii="仿宋_GB2312" w:hAnsi="仿宋" w:eastAsia="仿宋_GB2312"/>
          <w:sz w:val="28"/>
          <w:szCs w:val="28"/>
        </w:rPr>
        <w:t>等</w:t>
      </w:r>
      <w:r>
        <w:rPr>
          <w:rFonts w:ascii="仿宋_GB2312" w:hAnsi="仿宋" w:eastAsia="仿宋_GB2312"/>
          <w:sz w:val="28"/>
          <w:szCs w:val="28"/>
        </w:rPr>
        <w:t>规划方案基本可行。</w:t>
      </w:r>
    </w:p>
    <w:p>
      <w:pPr>
        <w:spacing w:line="490" w:lineRule="exact"/>
        <w:ind w:firstLine="560" w:firstLineChars="200"/>
        <w:rPr>
          <w:rFonts w:ascii="仿宋_GB2312" w:hAnsi="仿宋" w:eastAsia="仿宋_GB2312"/>
          <w:sz w:val="28"/>
          <w:szCs w:val="28"/>
        </w:rPr>
      </w:pPr>
      <w:r>
        <w:rPr>
          <w:rFonts w:ascii="仿宋_GB2312" w:hAnsi="仿宋" w:eastAsia="仿宋_GB2312"/>
          <w:sz w:val="28"/>
          <w:szCs w:val="28"/>
        </w:rPr>
        <w:t>6、</w:t>
      </w:r>
      <w:r>
        <w:rPr>
          <w:rFonts w:hint="eastAsia" w:ascii="仿宋_GB2312" w:hAnsi="仿宋" w:eastAsia="仿宋_GB2312"/>
          <w:sz w:val="28"/>
          <w:szCs w:val="28"/>
        </w:rPr>
        <w:t>编制单位在收集矿山地质环境背景资料、进行矿山地质环境现状调查、实地测量基础上，按照《矿山地质环境保护与恢复治理方案编制规范》（以下简称《规范》）、晋国土资函[2016]430号文件等要求，根据《襄垣县070号石灰岩矿区资源储量核实报告》评审意见书、长治市国土资源局长国土资非煤整储备字[2010]0033号备案证明、矿产资源开发利用方案、土地利用现状图等技术资料编制完成该《方案》，编制依据比较充分。</w:t>
      </w:r>
    </w:p>
    <w:p>
      <w:pPr>
        <w:autoSpaceDE w:val="0"/>
        <w:spacing w:line="480" w:lineRule="exact"/>
        <w:ind w:firstLine="560" w:firstLineChars="200"/>
        <w:rPr>
          <w:rFonts w:ascii="仿宋_GB2312" w:hAnsi="仿宋" w:eastAsia="仿宋_GB2312"/>
          <w:sz w:val="28"/>
          <w:szCs w:val="28"/>
        </w:rPr>
      </w:pPr>
      <w:r>
        <w:rPr>
          <w:rFonts w:ascii="仿宋_GB2312" w:hAnsi="仿宋" w:eastAsia="仿宋_GB2312"/>
          <w:sz w:val="28"/>
          <w:szCs w:val="28"/>
        </w:rPr>
        <w:t>7、《方案》编制中充分利用了已有的矿山</w:t>
      </w:r>
      <w:r>
        <w:rPr>
          <w:rFonts w:hint="eastAsia" w:ascii="仿宋_GB2312" w:hAnsi="仿宋" w:eastAsia="仿宋_GB2312"/>
          <w:sz w:val="28"/>
          <w:szCs w:val="28"/>
        </w:rPr>
        <w:t>资源储量核实</w:t>
      </w:r>
      <w:r>
        <w:rPr>
          <w:rFonts w:ascii="仿宋_GB2312" w:hAnsi="仿宋" w:eastAsia="仿宋_GB2312"/>
          <w:sz w:val="28"/>
          <w:szCs w:val="28"/>
        </w:rPr>
        <w:t>报告</w:t>
      </w:r>
      <w:r>
        <w:rPr>
          <w:rFonts w:hint="eastAsia" w:ascii="仿宋_GB2312" w:hAnsi="仿宋" w:eastAsia="仿宋_GB2312"/>
          <w:sz w:val="28"/>
          <w:szCs w:val="28"/>
        </w:rPr>
        <w:t>、调查测量现状</w:t>
      </w:r>
      <w:r>
        <w:rPr>
          <w:rFonts w:ascii="仿宋_GB2312" w:hAnsi="仿宋" w:eastAsia="仿宋_GB2312"/>
          <w:sz w:val="28"/>
          <w:szCs w:val="28"/>
        </w:rPr>
        <w:t>、矿区及周边人文和社会经济等资料，完成了矿山地质环境调查和室内资料整理、分析研究工作。工作程序、主要内容与格式均符合有关规定和要求。《方案》确定矿山地质环境影响评估分级为“一级”</w:t>
      </w:r>
      <w:r>
        <w:rPr>
          <w:rFonts w:hint="eastAsia" w:ascii="仿宋_GB2312" w:hAnsi="仿宋" w:eastAsiaTheme="minorEastAsia"/>
          <w:sz w:val="28"/>
          <w:szCs w:val="28"/>
        </w:rPr>
        <w:t>，</w:t>
      </w:r>
      <w:r>
        <w:rPr>
          <w:rFonts w:ascii="仿宋_GB2312" w:hAnsi="仿宋" w:eastAsia="仿宋_GB2312"/>
          <w:sz w:val="28"/>
          <w:szCs w:val="28"/>
        </w:rPr>
        <w:t>确定的评估范围合理，评估级别正确</w:t>
      </w:r>
      <w:r>
        <w:rPr>
          <w:rFonts w:hint="eastAsia" w:ascii="仿宋_GB2312" w:hAnsi="仿宋" w:eastAsia="仿宋_GB2312"/>
          <w:sz w:val="28"/>
          <w:szCs w:val="28"/>
        </w:rPr>
        <w:t>，符合《规范》要求。</w:t>
      </w:r>
    </w:p>
    <w:p>
      <w:pPr>
        <w:autoSpaceDE w:val="0"/>
        <w:spacing w:line="480" w:lineRule="exact"/>
        <w:ind w:firstLine="560" w:firstLineChars="200"/>
        <w:rPr>
          <w:rFonts w:ascii="仿宋_GB2312" w:hAnsi="仿宋" w:eastAsia="仿宋_GB2312"/>
          <w:sz w:val="28"/>
          <w:szCs w:val="28"/>
        </w:rPr>
      </w:pPr>
      <w:r>
        <w:rPr>
          <w:rFonts w:ascii="仿宋_GB2312" w:hAnsi="仿宋" w:eastAsia="仿宋_GB2312"/>
          <w:sz w:val="28"/>
          <w:szCs w:val="28"/>
        </w:rPr>
        <w:t>8、《方案》对评估区进行了地质环境影响现状评估，现状评估结论基本符合实际。《方案》对评估区进行了地质环境影响预测评估，预测评估依据比较充分，</w:t>
      </w:r>
      <w:r>
        <w:rPr>
          <w:rFonts w:hint="eastAsia" w:ascii="仿宋_GB2312" w:hAnsi="仿宋" w:eastAsia="仿宋_GB2312"/>
          <w:sz w:val="28"/>
          <w:szCs w:val="28"/>
        </w:rPr>
        <w:t>矿山地质环境影响程度分级</w:t>
      </w:r>
      <w:r>
        <w:rPr>
          <w:rFonts w:ascii="仿宋_GB2312" w:hAnsi="仿宋" w:eastAsia="仿宋_GB2312"/>
          <w:sz w:val="28"/>
          <w:szCs w:val="28"/>
        </w:rPr>
        <w:t>结论基本合理。</w:t>
      </w:r>
    </w:p>
    <w:p>
      <w:pPr>
        <w:autoSpaceDE w:val="0"/>
        <w:spacing w:line="480" w:lineRule="exact"/>
        <w:ind w:firstLine="560" w:firstLineChars="200"/>
        <w:rPr>
          <w:rFonts w:ascii="仿宋_GB2312" w:hAnsi="仿宋" w:eastAsia="仿宋_GB2312"/>
          <w:sz w:val="28"/>
          <w:szCs w:val="28"/>
        </w:rPr>
      </w:pPr>
      <w:r>
        <w:rPr>
          <w:rFonts w:ascii="仿宋_GB2312" w:hAnsi="仿宋" w:eastAsia="仿宋_GB2312"/>
          <w:sz w:val="28"/>
          <w:szCs w:val="28"/>
        </w:rPr>
        <w:t>9、《方案》将评估区划分为1个矿山地质环境重点防治区、1个矿山地质环境次重点防治区和1个矿山地质环境一般防治区，并分别将矿山地质环境重点防治区和次重点防治区进一步细分为</w:t>
      </w:r>
      <w:r>
        <w:rPr>
          <w:rFonts w:hint="eastAsia" w:ascii="仿宋_GB2312" w:hAnsi="仿宋" w:eastAsiaTheme="minorEastAsia"/>
          <w:sz w:val="28"/>
          <w:szCs w:val="28"/>
        </w:rPr>
        <w:t>3</w:t>
      </w:r>
      <w:r>
        <w:rPr>
          <w:rFonts w:ascii="仿宋_GB2312" w:hAnsi="仿宋" w:eastAsia="仿宋_GB2312"/>
          <w:sz w:val="28"/>
          <w:szCs w:val="28"/>
        </w:rPr>
        <w:t>个重点防治亚区和</w:t>
      </w:r>
      <w:r>
        <w:rPr>
          <w:rFonts w:hint="eastAsia" w:ascii="仿宋_GB2312" w:hAnsi="仿宋" w:eastAsiaTheme="minorEastAsia"/>
          <w:sz w:val="28"/>
          <w:szCs w:val="28"/>
        </w:rPr>
        <w:t>1</w:t>
      </w:r>
      <w:r>
        <w:rPr>
          <w:rFonts w:ascii="仿宋_GB2312" w:hAnsi="仿宋" w:eastAsia="仿宋_GB2312"/>
          <w:sz w:val="28"/>
          <w:szCs w:val="28"/>
        </w:rPr>
        <w:t>个矿山地质环境次重点防治亚区。</w:t>
      </w:r>
      <w:r>
        <w:rPr>
          <w:rFonts w:hint="eastAsia" w:ascii="仿宋_GB2312" w:hAnsi="仿宋" w:eastAsia="仿宋_GB2312"/>
          <w:sz w:val="28"/>
          <w:szCs w:val="28"/>
        </w:rPr>
        <w:t>《方案》评述了各防治分区的位置、范围、面积、主要矿山地质环境问题及影响程度、防治措施等，矿山地质环境保护与治理恢复分区基本合理。</w:t>
      </w:r>
    </w:p>
    <w:p>
      <w:pPr>
        <w:spacing w:line="480" w:lineRule="exact"/>
        <w:ind w:firstLine="560" w:firstLineChars="200"/>
        <w:rPr>
          <w:rFonts w:ascii="仿宋_GB2312" w:hAnsi="仿宋" w:eastAsia="仿宋_GB2312"/>
          <w:sz w:val="28"/>
          <w:szCs w:val="28"/>
        </w:rPr>
      </w:pPr>
      <w:r>
        <w:rPr>
          <w:rFonts w:ascii="仿宋_GB2312" w:hAnsi="仿宋" w:eastAsia="仿宋_GB2312"/>
          <w:sz w:val="28"/>
          <w:szCs w:val="28"/>
        </w:rPr>
        <w:t>10、</w:t>
      </w:r>
      <w:r>
        <w:rPr>
          <w:rFonts w:hint="eastAsia" w:ascii="仿宋_GB2312" w:hAnsi="仿宋" w:eastAsia="仿宋_GB2312"/>
          <w:sz w:val="28"/>
          <w:szCs w:val="28"/>
        </w:rPr>
        <w:t>《方案》提出的矿山地质环境保护与治理恢复原则正确，目标和任务比较明确；矿山地质环境治理恢复服务期内，总体工作部署比较合理，年度实施计划比较具体。矿山地质灾害及地质灾害隐患防治工程、地形地貌景观破坏及土地资源治理恢复工程（按土地复垦方案执行）、矿山地质环境监测工程等方案基本可行。</w:t>
      </w:r>
    </w:p>
    <w:p>
      <w:pPr>
        <w:autoSpaceDE w:val="0"/>
        <w:spacing w:line="480" w:lineRule="exact"/>
        <w:ind w:firstLine="560" w:firstLineChars="200"/>
        <w:rPr>
          <w:rFonts w:ascii="仿宋_GB2312" w:hAnsi="仿宋" w:eastAsia="仿宋_GB2312"/>
          <w:sz w:val="28"/>
          <w:szCs w:val="28"/>
        </w:rPr>
      </w:pPr>
      <w:r>
        <w:rPr>
          <w:rFonts w:ascii="仿宋_GB2312" w:hAnsi="仿宋" w:eastAsia="仿宋_GB2312"/>
          <w:sz w:val="28"/>
          <w:szCs w:val="28"/>
        </w:rPr>
        <w:t>11、矿山地质环境保护与治理恢复工程量估算、工程进度安排、</w:t>
      </w:r>
      <w:r>
        <w:rPr>
          <w:rFonts w:hint="eastAsia" w:ascii="仿宋_GB2312" w:hAnsi="仿宋" w:eastAsia="仿宋_GB2312"/>
          <w:sz w:val="28"/>
          <w:szCs w:val="28"/>
        </w:rPr>
        <w:t>保障措施和</w:t>
      </w:r>
      <w:r>
        <w:rPr>
          <w:rFonts w:ascii="仿宋_GB2312" w:hAnsi="仿宋" w:eastAsia="仿宋_GB2312"/>
          <w:sz w:val="28"/>
          <w:szCs w:val="28"/>
        </w:rPr>
        <w:t>效益分析等基本合理。</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12、矿山企业要按照山西省人民政府晋政发[2019]3号文件《山西省矿山环境治理恢复基金管理办法》要求，及时建立专户，并按时提取、存储基金。</w:t>
      </w:r>
    </w:p>
    <w:p>
      <w:pPr>
        <w:spacing w:line="48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3</w:t>
      </w:r>
      <w:r>
        <w:rPr>
          <w:rFonts w:ascii="仿宋_GB2312" w:hAnsi="仿宋" w:eastAsia="仿宋_GB2312"/>
          <w:sz w:val="28"/>
          <w:szCs w:val="28"/>
        </w:rPr>
        <w:t>、《方案》符合“国土资源部国土发[2007]81号”文件及土地复垦方案编制规程要求，调查研究与数据处理方法基本正确，基本反映了项目区土地复垦有关情况。</w:t>
      </w:r>
    </w:p>
    <w:p>
      <w:pPr>
        <w:autoSpaceDE w:val="0"/>
        <w:spacing w:line="49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4</w:t>
      </w:r>
      <w:r>
        <w:rPr>
          <w:rFonts w:ascii="仿宋_GB2312" w:hAnsi="仿宋" w:eastAsia="仿宋_GB2312"/>
          <w:sz w:val="28"/>
          <w:szCs w:val="28"/>
        </w:rPr>
        <w:t>、《方案》对土地复垦进行可行性分析，评价依据充分、参数可行，指标选取基本合理，对已破坏土地调查清楚，勘测面积准确；对拟破坏土地的预测和分析方法基本正确，数据测算基本合理，可作为本项目土地复垦的依据。</w:t>
      </w:r>
    </w:p>
    <w:p>
      <w:pPr>
        <w:autoSpaceDE w:val="0"/>
        <w:spacing w:line="49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5</w:t>
      </w:r>
      <w:r>
        <w:rPr>
          <w:rFonts w:ascii="仿宋_GB2312" w:hAnsi="仿宋" w:eastAsia="仿宋_GB2312"/>
          <w:sz w:val="28"/>
          <w:szCs w:val="28"/>
        </w:rPr>
        <w:t>、《方案》确定的复垦目标和任务明确，土地各利用类型数据清晰明了、指标量化。土地复垦适宜性评价方法和过程基本完整、正确，结果基本可信。</w:t>
      </w:r>
    </w:p>
    <w:p>
      <w:pPr>
        <w:autoSpaceDE w:val="0"/>
        <w:spacing w:line="49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6</w:t>
      </w:r>
      <w:r>
        <w:rPr>
          <w:rFonts w:ascii="仿宋_GB2312" w:hAnsi="仿宋" w:eastAsia="仿宋_GB2312"/>
          <w:sz w:val="28"/>
          <w:szCs w:val="28"/>
        </w:rPr>
        <w:t>、《方案》制定的土地复垦标准、技术路线正确，工程设计及工程量测算比较科学合理，复垦工艺基本符合实际。</w:t>
      </w:r>
    </w:p>
    <w:p>
      <w:pPr>
        <w:autoSpaceDE w:val="0"/>
        <w:spacing w:line="49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7</w:t>
      </w:r>
      <w:r>
        <w:rPr>
          <w:rFonts w:ascii="仿宋_GB2312" w:hAnsi="仿宋" w:eastAsia="仿宋_GB2312"/>
          <w:sz w:val="28"/>
          <w:szCs w:val="28"/>
        </w:rPr>
        <w:t>、《方案》提出的预防控制及复垦措施、工程技术及生物化学措施基本可行，方向正确，针对性较强，基本达到了保护耕地、合理利用及水土保持、生态环境保护的标准和要求。</w:t>
      </w:r>
    </w:p>
    <w:p>
      <w:pPr>
        <w:autoSpaceDE w:val="0"/>
        <w:spacing w:line="49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8</w:t>
      </w:r>
      <w:r>
        <w:rPr>
          <w:rFonts w:ascii="仿宋_GB2312" w:hAnsi="仿宋" w:eastAsia="仿宋_GB2312"/>
          <w:sz w:val="28"/>
          <w:szCs w:val="28"/>
        </w:rPr>
        <w:t>、《方案》中土地复垦投资，估算依据正确，测算较为客观，符合国家的土地复垦取费标准，可基本保证实施复垦方案的资金需求。</w:t>
      </w:r>
    </w:p>
    <w:p>
      <w:pPr>
        <w:autoSpaceDE w:val="0"/>
        <w:spacing w:line="490" w:lineRule="exact"/>
        <w:ind w:firstLine="560" w:firstLineChars="200"/>
        <w:rPr>
          <w:rFonts w:ascii="仿宋_GB2312" w:hAnsi="仿宋" w:eastAsia="仿宋_GB2312"/>
          <w:sz w:val="28"/>
          <w:szCs w:val="28"/>
        </w:rPr>
      </w:pPr>
      <w:r>
        <w:rPr>
          <w:rFonts w:hint="eastAsia" w:ascii="仿宋_GB2312" w:hAnsi="仿宋" w:eastAsia="仿宋_GB2312"/>
          <w:sz w:val="28"/>
          <w:szCs w:val="28"/>
        </w:rPr>
        <w:t>19、</w:t>
      </w:r>
      <w:r>
        <w:rPr>
          <w:rFonts w:ascii="仿宋_GB2312" w:hAnsi="仿宋" w:eastAsia="仿宋_GB2312"/>
          <w:sz w:val="28"/>
          <w:szCs w:val="28"/>
        </w:rPr>
        <w:t>《方案》确定的工作计划安排和保障措施基本可行，所分析测算的土地复垦效益较为合理。</w:t>
      </w:r>
    </w:p>
    <w:p>
      <w:pPr>
        <w:autoSpaceDE w:val="0"/>
        <w:autoSpaceDN w:val="0"/>
        <w:adjustRightInd w:val="0"/>
        <w:spacing w:line="240" w:lineRule="exact"/>
        <w:ind w:firstLine="560" w:firstLineChars="200"/>
        <w:rPr>
          <w:rFonts w:ascii="仿宋_GB2312"/>
          <w:sz w:val="28"/>
          <w:szCs w:val="28"/>
        </w:rPr>
      </w:pPr>
    </w:p>
    <w:p>
      <w:pPr>
        <w:adjustRightInd w:val="0"/>
        <w:snapToGrid w:val="0"/>
        <w:spacing w:beforeLines="50" w:line="360" w:lineRule="auto"/>
        <w:ind w:firstLine="602" w:firstLineChars="200"/>
        <w:outlineLvl w:val="0"/>
        <w:rPr>
          <w:rFonts w:ascii="楷体_GB2312" w:eastAsia="楷体_GB2312"/>
          <w:b/>
          <w:bCs/>
          <w:sz w:val="30"/>
          <w:szCs w:val="30"/>
        </w:rPr>
      </w:pPr>
      <w:r>
        <w:rPr>
          <w:rFonts w:ascii="楷体_GB2312" w:eastAsia="楷体_GB2312"/>
          <w:b/>
          <w:bCs/>
          <w:sz w:val="30"/>
          <w:szCs w:val="30"/>
        </w:rPr>
        <w:t>四、问题和建议</w:t>
      </w:r>
    </w:p>
    <w:p>
      <w:pPr>
        <w:autoSpaceDE w:val="0"/>
        <w:spacing w:line="49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矿山正在基建期，建议按照绿色矿山建设规范要求，发挥国有企业优势，建设高起点、高标准、无污染、安全高效、绿色环保型矿山。</w:t>
      </w:r>
    </w:p>
    <w:p>
      <w:pPr>
        <w:autoSpaceDE w:val="0"/>
        <w:spacing w:line="490" w:lineRule="exact"/>
        <w:ind w:firstLine="560" w:firstLineChars="200"/>
        <w:rPr>
          <w:rFonts w:ascii="仿宋_GB2312" w:hAnsi="仿宋" w:eastAsia="仿宋_GB2312"/>
          <w:sz w:val="28"/>
          <w:szCs w:val="28"/>
        </w:rPr>
      </w:pPr>
      <w:r>
        <w:rPr>
          <w:rFonts w:hint="eastAsia" w:ascii="仿宋_GB2312" w:hAnsi="仿宋" w:eastAsia="仿宋_GB2312"/>
          <w:sz w:val="28"/>
          <w:szCs w:val="28"/>
        </w:rPr>
        <w:t>2、矿山露天采场边坡高差较大，建议</w:t>
      </w:r>
      <w:r>
        <w:rPr>
          <w:rFonts w:ascii="仿宋_GB2312" w:hAnsi="仿宋" w:eastAsia="仿宋_GB2312"/>
          <w:sz w:val="28"/>
          <w:szCs w:val="28"/>
        </w:rPr>
        <w:t>做好边坡活动检测，预防滑坡、崩塌等安全事故及地质灾害；生产设施建设在爆破警戒范围之内，建议</w:t>
      </w:r>
      <w:r>
        <w:rPr>
          <w:rFonts w:hint="eastAsia" w:ascii="仿宋_GB2312" w:hAnsi="仿宋" w:eastAsia="仿宋_GB2312"/>
          <w:sz w:val="28"/>
          <w:szCs w:val="28"/>
        </w:rPr>
        <w:t>企业设置</w:t>
      </w:r>
      <w:r>
        <w:rPr>
          <w:rFonts w:ascii="仿宋_GB2312" w:hAnsi="仿宋" w:eastAsia="仿宋_GB2312"/>
          <w:sz w:val="28"/>
          <w:szCs w:val="28"/>
        </w:rPr>
        <w:t>安全防护措施；开采过程中严格按照国家安监总局第39号令《小型露天采石场安全管理与监督检查规定》执行，确保生产安全，建立健全企业安全标准化。</w:t>
      </w:r>
    </w:p>
    <w:p>
      <w:pPr>
        <w:autoSpaceDE w:val="0"/>
        <w:spacing w:line="490" w:lineRule="exact"/>
        <w:ind w:firstLine="560" w:firstLineChars="200"/>
        <w:rPr>
          <w:rFonts w:ascii="仿宋_GB2312" w:hAnsi="仿宋" w:eastAsia="仿宋_GB2312"/>
          <w:sz w:val="28"/>
          <w:szCs w:val="28"/>
        </w:rPr>
      </w:pPr>
      <w:r>
        <w:rPr>
          <w:rFonts w:hint="eastAsia" w:ascii="仿宋_GB2312" w:hAnsi="仿宋" w:eastAsia="仿宋_GB2312"/>
          <w:sz w:val="28"/>
          <w:szCs w:val="28"/>
        </w:rPr>
        <w:t>3</w:t>
      </w:r>
      <w:r>
        <w:rPr>
          <w:rFonts w:ascii="仿宋_GB2312" w:hAnsi="仿宋" w:eastAsia="仿宋_GB2312"/>
          <w:sz w:val="28"/>
          <w:szCs w:val="28"/>
        </w:rPr>
        <w:t>、</w:t>
      </w:r>
      <w:r>
        <w:rPr>
          <w:rFonts w:hint="eastAsia" w:ascii="仿宋_GB2312" w:hAnsi="仿宋" w:eastAsia="仿宋_GB2312"/>
          <w:sz w:val="28"/>
          <w:szCs w:val="28"/>
        </w:rPr>
        <w:t>矿山企业要积极履行地质环境保护与治理恢复及土地复垦义务，并按照《山西省矿山地质环境治理恢复基金管理办法》、晋政发[2019]3号文的要求，足额提取地质环境保护与治理恢复基金，依据《土地复垦条例实施办法》签订三方协议，缴存土地复垦费用。建议</w:t>
      </w:r>
      <w:r>
        <w:rPr>
          <w:rFonts w:ascii="仿宋_GB2312" w:hAnsi="仿宋" w:eastAsia="仿宋_GB2312"/>
          <w:sz w:val="28"/>
          <w:szCs w:val="28"/>
        </w:rPr>
        <w:t>管理部门加强监管和引导</w:t>
      </w:r>
      <w:r>
        <w:rPr>
          <w:rFonts w:hint="eastAsia" w:ascii="仿宋_GB2312" w:hAnsi="仿宋" w:eastAsia="仿宋_GB2312"/>
          <w:sz w:val="28"/>
          <w:szCs w:val="28"/>
        </w:rPr>
        <w:t>其实施</w:t>
      </w:r>
      <w:r>
        <w:rPr>
          <w:rFonts w:ascii="仿宋_GB2312" w:hAnsi="仿宋" w:eastAsia="仿宋_GB2312"/>
          <w:sz w:val="28"/>
          <w:szCs w:val="28"/>
        </w:rPr>
        <w:t>，根据</w:t>
      </w:r>
      <w:r>
        <w:rPr>
          <w:rFonts w:hint="eastAsia" w:ascii="仿宋_GB2312" w:hAnsi="仿宋" w:eastAsia="仿宋_GB2312"/>
          <w:sz w:val="28"/>
          <w:szCs w:val="28"/>
        </w:rPr>
        <w:t>地质环境治理和</w:t>
      </w:r>
      <w:r>
        <w:rPr>
          <w:rFonts w:ascii="仿宋_GB2312" w:hAnsi="仿宋" w:eastAsia="仿宋_GB2312"/>
          <w:sz w:val="28"/>
          <w:szCs w:val="28"/>
        </w:rPr>
        <w:t>复垦安排制定使用计划</w:t>
      </w:r>
      <w:r>
        <w:rPr>
          <w:rFonts w:hint="eastAsia" w:ascii="仿宋_GB2312" w:hAnsi="仿宋" w:eastAsia="仿宋_GB2312"/>
          <w:sz w:val="28"/>
          <w:szCs w:val="28"/>
        </w:rPr>
        <w:t>和</w:t>
      </w:r>
      <w:r>
        <w:rPr>
          <w:rFonts w:ascii="仿宋_GB2312" w:hAnsi="仿宋" w:eastAsia="仿宋_GB2312"/>
          <w:sz w:val="28"/>
          <w:szCs w:val="28"/>
        </w:rPr>
        <w:t>措施</w:t>
      </w:r>
      <w:r>
        <w:rPr>
          <w:rFonts w:hint="eastAsia" w:ascii="仿宋_GB2312" w:hAnsi="仿宋" w:eastAsia="仿宋_GB2312"/>
          <w:sz w:val="28"/>
          <w:szCs w:val="28"/>
        </w:rPr>
        <w:t>，</w:t>
      </w:r>
      <w:r>
        <w:rPr>
          <w:rFonts w:ascii="仿宋_GB2312" w:hAnsi="仿宋" w:eastAsia="仿宋_GB2312"/>
          <w:sz w:val="28"/>
          <w:szCs w:val="28"/>
        </w:rPr>
        <w:t>确保资金专款专用</w:t>
      </w:r>
      <w:r>
        <w:rPr>
          <w:rFonts w:hint="eastAsia" w:ascii="仿宋_GB2312" w:hAnsi="仿宋" w:eastAsia="仿宋_GB2312"/>
          <w:sz w:val="28"/>
          <w:szCs w:val="28"/>
        </w:rPr>
        <w:t>。</w:t>
      </w:r>
    </w:p>
    <w:p>
      <w:pPr>
        <w:adjustRightInd w:val="0"/>
        <w:snapToGrid w:val="0"/>
        <w:spacing w:beforeLines="100" w:line="360" w:lineRule="auto"/>
        <w:ind w:firstLine="602" w:firstLineChars="200"/>
        <w:outlineLvl w:val="0"/>
        <w:rPr>
          <w:rFonts w:ascii="楷体_GB2312" w:eastAsia="楷体_GB2312"/>
          <w:b/>
          <w:bCs/>
          <w:sz w:val="30"/>
          <w:szCs w:val="30"/>
        </w:rPr>
      </w:pPr>
      <w:r>
        <w:rPr>
          <w:rFonts w:ascii="楷体_GB2312" w:eastAsia="楷体_GB2312"/>
          <w:b/>
          <w:bCs/>
          <w:sz w:val="30"/>
          <w:szCs w:val="30"/>
        </w:rPr>
        <w:t>五、结论</w:t>
      </w:r>
    </w:p>
    <w:p>
      <w:pPr>
        <w:autoSpaceDE w:val="0"/>
        <w:spacing w:line="480" w:lineRule="exact"/>
        <w:ind w:firstLine="560" w:firstLineChars="200"/>
        <w:rPr>
          <w:rFonts w:ascii="仿宋_GB2312"/>
          <w:sz w:val="28"/>
          <w:szCs w:val="28"/>
        </w:rPr>
      </w:pPr>
      <w:r>
        <w:rPr>
          <w:rFonts w:ascii="仿宋_GB2312" w:hAnsi="仿宋" w:eastAsia="仿宋_GB2312"/>
          <w:sz w:val="28"/>
          <w:szCs w:val="28"/>
        </w:rPr>
        <w:t>该《方案》文字及图件齐全，编制内容基本符合山西省国土资源厅“晋国土资函[2016]430号”文件的要求，可以满足采矿登记</w:t>
      </w:r>
      <w:r>
        <w:rPr>
          <w:rFonts w:hint="eastAsia" w:ascii="仿宋_GB2312" w:hAnsi="仿宋" w:eastAsia="仿宋_GB2312"/>
          <w:sz w:val="28"/>
          <w:szCs w:val="28"/>
        </w:rPr>
        <w:t>、换发采矿许可证</w:t>
      </w:r>
      <w:r>
        <w:rPr>
          <w:rFonts w:ascii="仿宋_GB2312" w:hAnsi="仿宋" w:eastAsia="仿宋_GB2312"/>
          <w:sz w:val="28"/>
          <w:szCs w:val="28"/>
        </w:rPr>
        <w:t>需要</w:t>
      </w:r>
      <w:r>
        <w:rPr>
          <w:rFonts w:hint="eastAsia" w:ascii="仿宋_GB2312" w:hAnsi="仿宋" w:eastAsia="仿宋_GB2312"/>
          <w:sz w:val="28"/>
          <w:szCs w:val="28"/>
        </w:rPr>
        <w:t>；可以</w:t>
      </w:r>
      <w:r>
        <w:rPr>
          <w:rFonts w:ascii="仿宋_GB2312" w:hAnsi="仿宋" w:eastAsia="仿宋_GB2312"/>
          <w:sz w:val="28"/>
          <w:szCs w:val="28"/>
        </w:rPr>
        <w:t>作为</w:t>
      </w:r>
      <w:r>
        <w:rPr>
          <w:rFonts w:hint="eastAsia" w:ascii="仿宋_GB2312" w:hAnsi="仿宋" w:eastAsia="仿宋_GB2312"/>
          <w:sz w:val="28"/>
          <w:szCs w:val="28"/>
        </w:rPr>
        <w:t>矿山</w:t>
      </w:r>
      <w:r>
        <w:rPr>
          <w:rFonts w:ascii="仿宋_GB2312" w:hAnsi="仿宋" w:eastAsia="仿宋_GB2312"/>
          <w:sz w:val="28"/>
          <w:szCs w:val="28"/>
        </w:rPr>
        <w:t>矿产资源合理利用、矿山地质环境保护与恢复治理、土地复垦行政管理的依据。</w:t>
      </w:r>
    </w:p>
    <w:p>
      <w:pPr>
        <w:adjustRightInd w:val="0"/>
        <w:snapToGrid w:val="0"/>
        <w:spacing w:line="580" w:lineRule="exact"/>
        <w:ind w:firstLine="2976" w:firstLineChars="1063"/>
        <w:jc w:val="center"/>
        <w:rPr>
          <w:rFonts w:ascii="仿宋_GB2312"/>
          <w:sz w:val="28"/>
          <w:szCs w:val="28"/>
        </w:rPr>
      </w:pPr>
    </w:p>
    <w:p>
      <w:pPr>
        <w:autoSpaceDE w:val="0"/>
        <w:spacing w:line="530" w:lineRule="exact"/>
        <w:ind w:firstLine="3780" w:firstLineChars="1350"/>
        <w:rPr>
          <w:rFonts w:hint="eastAsia" w:ascii="仿宋_GB2312" w:hAnsi="仿宋" w:eastAsia="仿宋_GB2312"/>
          <w:sz w:val="28"/>
          <w:szCs w:val="28"/>
        </w:rPr>
      </w:pPr>
    </w:p>
    <w:p>
      <w:pPr>
        <w:autoSpaceDE w:val="0"/>
        <w:spacing w:line="530" w:lineRule="exact"/>
        <w:ind w:firstLine="3780" w:firstLineChars="1350"/>
        <w:rPr>
          <w:rFonts w:ascii="仿宋_GB2312" w:hAnsi="仿宋" w:eastAsia="仿宋_GB2312"/>
          <w:sz w:val="28"/>
          <w:szCs w:val="28"/>
        </w:rPr>
      </w:pPr>
    </w:p>
    <w:p>
      <w:pPr>
        <w:autoSpaceDE w:val="0"/>
        <w:spacing w:line="500" w:lineRule="exact"/>
        <w:ind w:firstLine="2520" w:firstLineChars="900"/>
        <w:rPr>
          <w:rFonts w:ascii="仿宋_GB2312" w:hAnsi="仿宋" w:eastAsia="仿宋_GB2312"/>
          <w:sz w:val="28"/>
          <w:szCs w:val="28"/>
        </w:rPr>
      </w:pPr>
      <w:r>
        <w:rPr>
          <w:rFonts w:ascii="仿宋_GB2312" w:hAnsi="仿宋" w:eastAsia="仿宋_GB2312"/>
          <w:sz w:val="28"/>
          <w:szCs w:val="28"/>
        </w:rPr>
        <w:t>山西省</w:t>
      </w:r>
      <w:r>
        <w:rPr>
          <w:rFonts w:hint="eastAsia" w:ascii="仿宋_GB2312" w:hAnsi="仿宋" w:eastAsia="仿宋_GB2312"/>
          <w:sz w:val="28"/>
          <w:szCs w:val="28"/>
        </w:rPr>
        <w:t>地质</w:t>
      </w:r>
      <w:r>
        <w:rPr>
          <w:rFonts w:ascii="仿宋_GB2312" w:hAnsi="仿宋" w:eastAsia="仿宋_GB2312"/>
          <w:sz w:val="28"/>
          <w:szCs w:val="28"/>
        </w:rPr>
        <w:t>勘查</w:t>
      </w:r>
      <w:r>
        <w:rPr>
          <w:rFonts w:hint="eastAsia" w:ascii="仿宋_GB2312" w:hAnsi="仿宋" w:eastAsia="仿宋_GB2312"/>
          <w:sz w:val="28"/>
          <w:szCs w:val="28"/>
        </w:rPr>
        <w:t>局二一二地质队</w:t>
      </w:r>
      <w:r>
        <w:rPr>
          <w:rFonts w:hint="eastAsia" w:ascii="仿宋_GB2312" w:hAnsi="仿宋" w:eastAsia="仿宋_GB2312"/>
          <w:sz w:val="28"/>
          <w:szCs w:val="28"/>
          <w:lang w:val="en-US" w:eastAsia="zh-CN"/>
        </w:rPr>
        <w:t>专业技术委员会</w:t>
      </w:r>
    </w:p>
    <w:p>
      <w:pPr>
        <w:autoSpaceDE w:val="0"/>
        <w:spacing w:line="500" w:lineRule="exact"/>
        <w:ind w:firstLine="4480" w:firstLineChars="1600"/>
        <w:rPr>
          <w:rFonts w:ascii="仿宋_GB2312" w:hAnsi="仿宋" w:eastAsia="仿宋_GB2312"/>
          <w:sz w:val="28"/>
          <w:szCs w:val="28"/>
        </w:rPr>
      </w:pPr>
      <w:r>
        <w:rPr>
          <w:rFonts w:ascii="仿宋_GB2312" w:hAnsi="仿宋" w:eastAsia="仿宋_GB2312"/>
          <w:sz w:val="28"/>
          <w:szCs w:val="28"/>
        </w:rPr>
        <w:t>二〇二〇年</w:t>
      </w:r>
      <w:r>
        <w:rPr>
          <w:rFonts w:hint="eastAsia" w:ascii="仿宋_GB2312" w:hAnsi="仿宋" w:eastAsia="仿宋_GB2312"/>
          <w:sz w:val="28"/>
          <w:szCs w:val="28"/>
        </w:rPr>
        <w:t>六</w:t>
      </w:r>
      <w:r>
        <w:rPr>
          <w:rFonts w:ascii="仿宋_GB2312" w:hAnsi="仿宋" w:eastAsia="仿宋_GB2312"/>
          <w:sz w:val="28"/>
          <w:szCs w:val="28"/>
        </w:rPr>
        <w:t>月</w:t>
      </w:r>
      <w:r>
        <w:rPr>
          <w:rFonts w:hint="eastAsia" w:ascii="仿宋_GB2312" w:hAnsi="仿宋" w:eastAsia="仿宋_GB2312"/>
          <w:sz w:val="28"/>
          <w:szCs w:val="28"/>
        </w:rPr>
        <w:t>二</w:t>
      </w:r>
      <w:r>
        <w:rPr>
          <w:rFonts w:ascii="仿宋_GB2312" w:hAnsi="仿宋" w:eastAsia="仿宋_GB2312"/>
          <w:sz w:val="28"/>
          <w:szCs w:val="28"/>
        </w:rPr>
        <w:t>日</w:t>
      </w:r>
    </w:p>
    <w:p>
      <w:pPr>
        <w:autoSpaceDE w:val="0"/>
        <w:spacing w:line="500" w:lineRule="exact"/>
        <w:ind w:firstLine="4480" w:firstLineChars="1600"/>
        <w:rPr>
          <w:rFonts w:ascii="仿宋_GB2312" w:hAnsi="仿宋" w:eastAsia="仿宋_GB2312"/>
          <w:sz w:val="28"/>
          <w:szCs w:val="28"/>
        </w:rPr>
      </w:pPr>
    </w:p>
    <w:p>
      <w:pPr>
        <w:autoSpaceDE w:val="0"/>
        <w:spacing w:line="500" w:lineRule="exact"/>
        <w:ind w:firstLine="4480" w:firstLineChars="1600"/>
        <w:rPr>
          <w:rFonts w:ascii="仿宋_GB2312" w:hAnsi="仿宋" w:eastAsia="仿宋_GB2312"/>
          <w:sz w:val="28"/>
          <w:szCs w:val="28"/>
        </w:rPr>
      </w:pPr>
    </w:p>
    <w:p>
      <w:pPr>
        <w:autoSpaceDE w:val="0"/>
        <w:spacing w:line="500" w:lineRule="exact"/>
        <w:ind w:firstLine="4480" w:firstLineChars="1600"/>
        <w:rPr>
          <w:rFonts w:ascii="仿宋_GB2312" w:hAnsi="仿宋" w:eastAsia="仿宋_GB2312"/>
          <w:sz w:val="28"/>
          <w:szCs w:val="28"/>
        </w:rPr>
      </w:pPr>
    </w:p>
    <w:p>
      <w:pPr>
        <w:autoSpaceDE w:val="0"/>
        <w:spacing w:line="500" w:lineRule="exact"/>
        <w:ind w:firstLine="4480" w:firstLineChars="1600"/>
        <w:rPr>
          <w:rFonts w:ascii="仿宋_GB2312" w:hAnsi="仿宋" w:eastAsia="仿宋_GB2312"/>
          <w:sz w:val="28"/>
          <w:szCs w:val="28"/>
        </w:rPr>
      </w:pPr>
    </w:p>
    <w:p>
      <w:pPr>
        <w:autoSpaceDE w:val="0"/>
        <w:spacing w:line="500" w:lineRule="exact"/>
        <w:ind w:firstLine="4480" w:firstLineChars="1600"/>
        <w:rPr>
          <w:rFonts w:ascii="仿宋_GB2312" w:hAnsi="仿宋" w:eastAsia="仿宋_GB2312"/>
          <w:sz w:val="28"/>
          <w:szCs w:val="28"/>
        </w:rPr>
      </w:pPr>
    </w:p>
    <w:p>
      <w:pPr>
        <w:autoSpaceDE w:val="0"/>
        <w:spacing w:line="500" w:lineRule="exact"/>
        <w:ind w:firstLine="4480" w:firstLineChars="1600"/>
        <w:rPr>
          <w:rFonts w:ascii="仿宋_GB2312" w:hAnsi="仿宋" w:eastAsia="仿宋_GB2312"/>
          <w:sz w:val="28"/>
          <w:szCs w:val="28"/>
        </w:rPr>
      </w:pPr>
    </w:p>
    <w:p>
      <w:pPr>
        <w:autoSpaceDE w:val="0"/>
        <w:spacing w:line="500" w:lineRule="exact"/>
        <w:ind w:firstLine="4480" w:firstLineChars="1600"/>
        <w:rPr>
          <w:rFonts w:ascii="仿宋_GB2312" w:hAnsi="仿宋" w:eastAsia="仿宋_GB2312"/>
          <w:sz w:val="28"/>
          <w:szCs w:val="28"/>
        </w:rPr>
      </w:pPr>
    </w:p>
    <w:p>
      <w:pPr>
        <w:autoSpaceDE w:val="0"/>
        <w:spacing w:line="500" w:lineRule="exact"/>
        <w:ind w:firstLine="4480" w:firstLineChars="1600"/>
        <w:rPr>
          <w:rFonts w:ascii="仿宋_GB2312" w:hAnsi="仿宋" w:eastAsia="仿宋_GB2312"/>
          <w:sz w:val="28"/>
          <w:szCs w:val="28"/>
        </w:rPr>
      </w:pPr>
    </w:p>
    <w:p>
      <w:pPr>
        <w:spacing w:line="320" w:lineRule="exact"/>
        <w:rPr>
          <w:rFonts w:ascii="楷体_GB2312" w:hAnsi="华文中宋" w:eastAsia="楷体_GB2312"/>
          <w:spacing w:val="-8"/>
          <w:sz w:val="28"/>
          <w:szCs w:val="28"/>
        </w:rPr>
      </w:pPr>
      <w:r>
        <w:rPr>
          <w:rFonts w:ascii="楷体_GB2312" w:hAnsi="华文中宋" w:eastAsia="楷体_GB2312"/>
          <w:spacing w:val="-8"/>
          <w:sz w:val="28"/>
          <w:szCs w:val="28"/>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397510</wp:posOffset>
                </wp:positionV>
                <wp:extent cx="5690870" cy="0"/>
                <wp:effectExtent l="0" t="0" r="0" b="0"/>
                <wp:wrapNone/>
                <wp:docPr id="2" name="自选图形 3"/>
                <wp:cNvGraphicFramePr/>
                <a:graphic xmlns:a="http://schemas.openxmlformats.org/drawingml/2006/main">
                  <a:graphicData uri="http://schemas.microsoft.com/office/word/2010/wordprocessingShape">
                    <wps:wsp>
                      <wps:cNvCnPr/>
                      <wps:spPr>
                        <a:xfrm>
                          <a:off x="0" y="0"/>
                          <a:ext cx="56908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45pt;margin-top:31.3pt;height:0pt;width:448.1pt;z-index:251658240;mso-width-relative:page;mso-height-relative:page;" filled="f" stroked="t" coordsize="21600,21600" o:gfxdata="UEsDBAoAAAAAAIdO4kAAAAAAAAAAAAAAAAAEAAAAZHJzL1BLAwQUAAAACACHTuJA3sCISdUAAAAH&#10;AQAADwAAAGRycy9kb3ducmV2LnhtbE2OzU7DMBCE70i8g7VIXFBrJ6hRE+JUCIkDR9pKXLfxkqSN&#10;11HsNKVPjxEHOM6PZr5yc7G9ONPoO8cakqUCQVw703GjYb97XaxB+IBssHdMGr7Iw6a6vSmxMG7m&#10;dzpvQyPiCPsCNbQhDIWUvm7Jol+6gThmn260GKIcG2lGnOO47WWqVCYtdhwfWhzopaX6tJ2sBvLT&#10;KlHPuW32b9f54SO9Hudhp/X9XaKeQAS6hL8y/OBHdKgi08FNbLzoNSzyWNSQpRmIGK/z1SOIw68h&#10;q1L+56++AVBLAwQUAAAACACHTuJA1nxOPNoBAACVAwAADgAAAGRycy9lMm9Eb2MueG1srVNLjhMx&#10;EN0jcQfLe9KdoAwzrXRmkTBsEEQCDlCx3d2W/JPLpJMdO8QZ2LHkDnCbkeAWlJ1Mhs8GIXrhLruq&#10;XtV7Li+u99awnYqovWv5dFJzppzwUru+5W9e3zy65AwTOAnGO9Xyg0J+vXz4YDGGRs384I1UkRGI&#10;w2YMLR9SCk1VoRiUBZz4oBw5Ox8tJNrGvpIRRkK3pprV9UU1+ihD9EIh0un66OTLgt91SqSXXYcq&#10;MdNy6i2VNZZ1m9dquYCmjxAGLU5twD90YUE7KnqGWkMC9jbqP6CsFtGj79JEeFv5rtNCFQ7EZlr/&#10;xubVAEEVLiQOhrNM+P9gxYvdJjItWz7jzIGlK/r2/vP3dx9uP369/fKJPc4KjQEbCly5TTztMGxi&#10;prvvos1/IsL2RdXDWVW1T0zQ4fziqr58QuKLO191nxgipmfKW5aNlmOKoPshrbxzdHc+TouqsHuO&#10;iUpT4l1CrmocG1t+NZ/NCRxoejoDiUwbiA+6vuSiN1reaGNyBsZ+uzKR7SDPQ/kyQcL9JSwXWQMO&#10;x7jiOk7KoEA+dZKlQyClHI00zy1YJTkzil5AtggQmgTa/E0klTaOOsgaH1XN1tbLQxG7nNPdlx5P&#10;c5qH6+d9yb5/Tc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3sCISdUAAAAHAQAADwAAAAAAAAAB&#10;ACAAAAAiAAAAZHJzL2Rvd25yZXYueG1sUEsBAhQAFAAAAAgAh07iQNZ8TjzaAQAAlQMAAA4AAAAA&#10;AAAAAQAgAAAAJAEAAGRycy9lMm9Eb2MueG1sUEsFBgAAAAAGAAYAWQEAAHAFAAAAAA==&#10;">
                <v:fill on="f" focussize="0,0"/>
                <v:stroke color="#000000" joinstyle="round"/>
                <v:imagedata o:title=""/>
                <o:lock v:ext="edit" aspectratio="f"/>
              </v:shape>
            </w:pict>
          </mc:Fallback>
        </mc:AlternateContent>
      </w:r>
      <w:r>
        <w:rPr>
          <w:rFonts w:ascii="楷体_GB2312" w:hAnsi="华文中宋" w:eastAsia="楷体_GB2312"/>
          <w:spacing w:val="-8"/>
          <w:sz w:val="28"/>
          <w:szCs w:val="28"/>
        </w:rPr>
        <mc:AlternateContent>
          <mc:Choice Requires="wps">
            <w:drawing>
              <wp:anchor distT="0" distB="0" distL="114300" distR="114300" simplePos="0" relativeHeight="251657216" behindDoc="0" locked="0" layoutInCell="1" allowOverlap="1">
                <wp:simplePos x="0" y="0"/>
                <wp:positionH relativeFrom="column">
                  <wp:posOffset>-73660</wp:posOffset>
                </wp:positionH>
                <wp:positionV relativeFrom="paragraph">
                  <wp:posOffset>397510</wp:posOffset>
                </wp:positionV>
                <wp:extent cx="1682750" cy="544195"/>
                <wp:effectExtent l="5080" t="5080" r="7620" b="22225"/>
                <wp:wrapNone/>
                <wp:docPr id="1" name="自选图形 2"/>
                <wp:cNvGraphicFramePr/>
                <a:graphic xmlns:a="http://schemas.openxmlformats.org/drawingml/2006/main">
                  <a:graphicData uri="http://schemas.microsoft.com/office/word/2010/wordprocessingShape">
                    <wps:wsp>
                      <wps:cNvSpPr/>
                      <wps:spPr>
                        <a:xfrm>
                          <a:off x="0" y="0"/>
                          <a:ext cx="1682750" cy="544195"/>
                        </a:xfrm>
                        <a:prstGeom prst="wedgeRectCallout">
                          <a:avLst>
                            <a:gd name="adj1" fmla="val -24037"/>
                            <a:gd name="adj2" fmla="val 36231"/>
                          </a:avLst>
                        </a:prstGeom>
                        <a:solidFill>
                          <a:srgbClr val="FFFFFF"/>
                        </a:solidFill>
                        <a:ln w="9525" cap="flat" cmpd="sng">
                          <a:solidFill>
                            <a:srgbClr val="FFFFFF"/>
                          </a:solidFill>
                          <a:prstDash val="solid"/>
                          <a:miter/>
                          <a:headEnd type="none" w="med" len="med"/>
                          <a:tailEnd type="none" w="med" len="med"/>
                        </a:ln>
                      </wps:spPr>
                      <wps:txbx>
                        <w:txbxContent>
                          <w:p>
                            <w:pPr>
                              <w:spacing w:line="320" w:lineRule="exact"/>
                              <w:rPr>
                                <w:rFonts w:ascii="楷体_GB2312" w:hAnsi="华文中宋" w:eastAsia="楷体_GB2312"/>
                                <w:sz w:val="28"/>
                                <w:szCs w:val="28"/>
                              </w:rPr>
                            </w:pPr>
                            <w:r>
                              <w:rPr>
                                <w:rFonts w:hint="eastAsia" w:ascii="楷体_GB2312" w:hAnsi="华文中宋" w:eastAsia="楷体_GB2312"/>
                                <w:sz w:val="28"/>
                                <w:szCs w:val="28"/>
                              </w:rPr>
                              <w:t xml:space="preserve">全文共印： </w:t>
                            </w:r>
                            <w:r>
                              <w:rPr>
                                <w:rFonts w:hint="eastAsia" w:ascii="楷体_GB2312" w:hAnsi="华文中宋" w:eastAsia="楷体_GB2312"/>
                                <w:sz w:val="28"/>
                                <w:szCs w:val="28"/>
                                <w:lang w:val="en-US" w:eastAsia="zh-CN"/>
                              </w:rPr>
                              <w:t>10</w:t>
                            </w:r>
                            <w:r>
                              <w:rPr>
                                <w:rFonts w:hint="eastAsia" w:ascii="楷体_GB2312" w:hAnsi="华文中宋" w:eastAsia="楷体_GB2312"/>
                                <w:sz w:val="28"/>
                                <w:szCs w:val="28"/>
                              </w:rPr>
                              <w:t xml:space="preserve"> 份</w:t>
                            </w:r>
                          </w:p>
                          <w:p>
                            <w:pPr>
                              <w:spacing w:line="320" w:lineRule="exact"/>
                              <w:rPr>
                                <w:rFonts w:ascii="楷体_GB2312" w:hAnsi="华文中宋" w:eastAsia="楷体_GB2312"/>
                                <w:sz w:val="28"/>
                                <w:szCs w:val="28"/>
                              </w:rPr>
                            </w:pPr>
                            <w:r>
                              <w:rPr>
                                <w:rFonts w:hint="eastAsia" w:ascii="楷体_GB2312" w:hAnsi="华文中宋" w:eastAsia="楷体_GB2312"/>
                                <w:sz w:val="28"/>
                                <w:szCs w:val="28"/>
                              </w:rPr>
                              <w:t xml:space="preserve">存档：   </w:t>
                            </w:r>
                            <w:r>
                              <w:rPr>
                                <w:rFonts w:hint="eastAsia" w:ascii="楷体_GB2312" w:hAnsi="华文中宋" w:eastAsia="楷体_GB2312"/>
                                <w:sz w:val="28"/>
                                <w:szCs w:val="28"/>
                                <w:lang w:val="en-US" w:eastAsia="zh-CN"/>
                              </w:rPr>
                              <w:t>4</w:t>
                            </w:r>
                            <w:r>
                              <w:rPr>
                                <w:rFonts w:hint="eastAsia" w:ascii="楷体_GB2312" w:hAnsi="华文中宋" w:eastAsia="楷体_GB2312"/>
                                <w:sz w:val="28"/>
                                <w:szCs w:val="28"/>
                              </w:rPr>
                              <w:t xml:space="preserve">  份</w:t>
                            </w:r>
                          </w:p>
                        </w:txbxContent>
                      </wps:txbx>
                      <wps:bodyPr upright="1"/>
                    </wps:wsp>
                  </a:graphicData>
                </a:graphic>
              </wp:anchor>
            </w:drawing>
          </mc:Choice>
          <mc:Fallback>
            <w:pict>
              <v:shape id="自选图形 2" o:spid="_x0000_s1026" o:spt="61" type="#_x0000_t61" style="position:absolute;left:0pt;margin-left:-5.8pt;margin-top:31.3pt;height:42.85pt;width:132.5pt;z-index:251657216;mso-width-relative:page;mso-height-relative:page;" fillcolor="#FFFFFF" filled="t" stroked="t" coordsize="21600,21600" o:gfxdata="UEsDBAoAAAAAAIdO4kAAAAAAAAAAAAAAAAAEAAAAZHJzL1BLAwQUAAAACACHTuJAvL1D/tkAAAAK&#10;AQAADwAAAGRycy9kb3ducmV2LnhtbE2Py07DMBBF90j8gzVI7FrbSQlViFOJl2BViRSJrRubJBCP&#10;I9ttA1/PsILVaDRHd86tNrMb2dGGOHhUIJcCmMXWmwE7Ba+7x8UaWEwajR49WgVfNsKmPj+rdGn8&#10;CV/ssUkdoxCMpVbQpzSVnMe2t07HpZ8s0u3dB6cTraHjJugThbuRZ0IU3OkB6UOvJ3vX2/azOTgF&#10;jZiftw7zD/3dhXt5+/C0y6/flLq8kOIGWLJz+oPhV5/UoSanvT+giWxUsJCyIFRBkdEkILvKV8D2&#10;RK7WOfC64v8r1D9QSwMEFAAAAAgAh07iQNqJgTIZAgAAPwQAAA4AAABkcnMvZTJvRG9jLnhtbK1T&#10;y24TMRTdI/EPlvfNJJNH2yiTLhrCBkFF4QMcP2aM/JLtZCY7dohvYMey/wB/Uwn+gmtnSFPYVIhZ&#10;eK7t6+Nzz/FdXHVaoR33QVpT4dFgiBE31DJp6gq/f7c+u8AoRGIYUdbwCu95wFfL588WrZvz0jZW&#10;Me4RgJgwb12FmxjdvCgCbbgmYWAdN7AprNckwtTXBfOkBXStinI4nBWt9cx5S3kIsLo6bOJlxheC&#10;0/hGiMAjUhUGbjGPPo+bNBbLBZnXnrhG0p4G+QcWmkgDlx6hViQStPXyLygtqbfBijigVhdWCEl5&#10;rgGqGQ3/qOa2IY7nWkCc4I4yhf8HS1/vbjySDLzDyBANFv34dPfz4+f7L9/vv31FZVKodWEOibfu&#10;xvezAGEqtxNepz8Ugrqs6v6oKu8iorA4ml2U51MQn8LedDIZXU4TaPFw2vkQX3KrUQoq3HJW87dg&#10;3TVRym5jFpbsXoWYFWY9T8I+AGehFRi2IwqdlZPh+Lx39CSpPE0az8rxqL++hwQivwkk/GCVZGup&#10;VJ74enOtPAL8Cq/z1x9+lKYMait8OS2nUCWBZywUiRBqB8IGU+cKHp0ITwNOxFYkNAcCGeFQoJaR&#10;+/x4G07YC8NQ3Dswz0CX4URGc4aR4tCUKcqZkUj1lEwQRBkwKNl+MDpFsdt0vfsby/bwarbOy7oB&#10;ww6CpiR4pdnZvqNSG5zOM+hD3y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y9Q/7ZAAAACgEA&#10;AA8AAAAAAAAAAQAgAAAAIgAAAGRycy9kb3ducmV2LnhtbFBLAQIUABQAAAAIAIdO4kDaiYEyGQIA&#10;AD8EAAAOAAAAAAAAAAEAIAAAACgBAABkcnMvZTJvRG9jLnhtbFBLBQYAAAAABgAGAFkBAACzBQAA&#10;AAA=&#10;" adj="5608,18626">
                <v:fill on="t" focussize="0,0"/>
                <v:stroke color="#FFFFFF" joinstyle="miter"/>
                <v:imagedata o:title=""/>
                <o:lock v:ext="edit" aspectratio="f"/>
                <v:textbox>
                  <w:txbxContent>
                    <w:p>
                      <w:pPr>
                        <w:spacing w:line="320" w:lineRule="exact"/>
                        <w:rPr>
                          <w:rFonts w:ascii="楷体_GB2312" w:hAnsi="华文中宋" w:eastAsia="楷体_GB2312"/>
                          <w:sz w:val="28"/>
                          <w:szCs w:val="28"/>
                        </w:rPr>
                      </w:pPr>
                      <w:r>
                        <w:rPr>
                          <w:rFonts w:hint="eastAsia" w:ascii="楷体_GB2312" w:hAnsi="华文中宋" w:eastAsia="楷体_GB2312"/>
                          <w:sz w:val="28"/>
                          <w:szCs w:val="28"/>
                        </w:rPr>
                        <w:t xml:space="preserve">全文共印： </w:t>
                      </w:r>
                      <w:r>
                        <w:rPr>
                          <w:rFonts w:hint="eastAsia" w:ascii="楷体_GB2312" w:hAnsi="华文中宋" w:eastAsia="楷体_GB2312"/>
                          <w:sz w:val="28"/>
                          <w:szCs w:val="28"/>
                          <w:lang w:val="en-US" w:eastAsia="zh-CN"/>
                        </w:rPr>
                        <w:t>10</w:t>
                      </w:r>
                      <w:r>
                        <w:rPr>
                          <w:rFonts w:hint="eastAsia" w:ascii="楷体_GB2312" w:hAnsi="华文中宋" w:eastAsia="楷体_GB2312"/>
                          <w:sz w:val="28"/>
                          <w:szCs w:val="28"/>
                        </w:rPr>
                        <w:t xml:space="preserve"> 份</w:t>
                      </w:r>
                    </w:p>
                    <w:p>
                      <w:pPr>
                        <w:spacing w:line="320" w:lineRule="exact"/>
                        <w:rPr>
                          <w:rFonts w:ascii="楷体_GB2312" w:hAnsi="华文中宋" w:eastAsia="楷体_GB2312"/>
                          <w:sz w:val="28"/>
                          <w:szCs w:val="28"/>
                        </w:rPr>
                      </w:pPr>
                      <w:r>
                        <w:rPr>
                          <w:rFonts w:hint="eastAsia" w:ascii="楷体_GB2312" w:hAnsi="华文中宋" w:eastAsia="楷体_GB2312"/>
                          <w:sz w:val="28"/>
                          <w:szCs w:val="28"/>
                        </w:rPr>
                        <w:t xml:space="preserve">存档：   </w:t>
                      </w:r>
                      <w:r>
                        <w:rPr>
                          <w:rFonts w:hint="eastAsia" w:ascii="楷体_GB2312" w:hAnsi="华文中宋" w:eastAsia="楷体_GB2312"/>
                          <w:sz w:val="28"/>
                          <w:szCs w:val="28"/>
                          <w:lang w:val="en-US" w:eastAsia="zh-CN"/>
                        </w:rPr>
                        <w:t>4</w:t>
                      </w:r>
                      <w:r>
                        <w:rPr>
                          <w:rFonts w:hint="eastAsia" w:ascii="楷体_GB2312" w:hAnsi="华文中宋" w:eastAsia="楷体_GB2312"/>
                          <w:sz w:val="28"/>
                          <w:szCs w:val="28"/>
                        </w:rPr>
                        <w:t xml:space="preserve">  份</w:t>
                      </w:r>
                    </w:p>
                  </w:txbxContent>
                </v:textbox>
              </v:shape>
            </w:pict>
          </mc:Fallback>
        </mc:AlternateContent>
      </w:r>
      <w:r>
        <w:rPr>
          <w:rFonts w:ascii="楷体_GB2312" w:hAnsi="华文中宋" w:eastAsia="楷体_GB2312"/>
          <w:spacing w:val="-8"/>
          <w:sz w:val="28"/>
          <w:szCs w:val="28"/>
        </w:rPr>
        <w:t>附：《</w:t>
      </w:r>
      <w:r>
        <w:rPr>
          <w:rFonts w:hint="eastAsia" w:ascii="楷体_GB2312" w:hAnsi="华文中宋" w:eastAsia="楷体_GB2312"/>
          <w:spacing w:val="-8"/>
          <w:sz w:val="28"/>
          <w:szCs w:val="28"/>
        </w:rPr>
        <w:t>山西省襄垣县首钢长治钢铁有限公司襄垣熔剂分公司熔剂用石灰岩</w:t>
      </w:r>
      <w:r>
        <w:rPr>
          <w:rFonts w:ascii="楷体_GB2312" w:hAnsi="华文中宋" w:eastAsia="楷体_GB2312"/>
          <w:spacing w:val="-8"/>
          <w:sz w:val="28"/>
          <w:szCs w:val="28"/>
        </w:rPr>
        <w:t>矿山矿产资源开发利用、地质环境保护与治理恢复、土地复垦方案》评审</w:t>
      </w:r>
      <w:r>
        <w:rPr>
          <w:rFonts w:hint="eastAsia" w:ascii="楷体_GB2312" w:hAnsi="华文中宋" w:eastAsia="楷体_GB2312"/>
          <w:spacing w:val="-8"/>
          <w:sz w:val="28"/>
          <w:szCs w:val="28"/>
        </w:rPr>
        <w:t>专家名单</w:t>
      </w:r>
    </w:p>
    <w:p/>
    <w:p/>
    <w:p/>
    <w:p/>
    <w:sectPr>
      <w:footerReference r:id="rId3" w:type="default"/>
      <w:pgSz w:w="11906" w:h="16838"/>
      <w:pgMar w:top="1440" w:right="1559"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RTuq8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fRTuq8BAABL&#10;AwAADgAAAAAAAAABACAAAAAeAQAAZHJzL2Uyb0RvYy54bWxQSwUGAAAAAAYABgBZAQAAP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95F"/>
    <w:rsid w:val="00005E78"/>
    <w:rsid w:val="000D4D5B"/>
    <w:rsid w:val="000E5FEE"/>
    <w:rsid w:val="0014723D"/>
    <w:rsid w:val="001641BB"/>
    <w:rsid w:val="00213650"/>
    <w:rsid w:val="003476D4"/>
    <w:rsid w:val="004A15A5"/>
    <w:rsid w:val="00547802"/>
    <w:rsid w:val="00595AFD"/>
    <w:rsid w:val="005A3E7D"/>
    <w:rsid w:val="005C4174"/>
    <w:rsid w:val="005E2BF1"/>
    <w:rsid w:val="006B08DD"/>
    <w:rsid w:val="00741649"/>
    <w:rsid w:val="007D60C9"/>
    <w:rsid w:val="00835066"/>
    <w:rsid w:val="00843038"/>
    <w:rsid w:val="00861244"/>
    <w:rsid w:val="00881F8C"/>
    <w:rsid w:val="0095395F"/>
    <w:rsid w:val="009866AC"/>
    <w:rsid w:val="009B723D"/>
    <w:rsid w:val="00A400B5"/>
    <w:rsid w:val="00A43ACD"/>
    <w:rsid w:val="00A57D7A"/>
    <w:rsid w:val="00A63066"/>
    <w:rsid w:val="00A770BC"/>
    <w:rsid w:val="00AD21E8"/>
    <w:rsid w:val="00B26B3E"/>
    <w:rsid w:val="00BC0786"/>
    <w:rsid w:val="00BE2158"/>
    <w:rsid w:val="00C82415"/>
    <w:rsid w:val="00CA1E64"/>
    <w:rsid w:val="00CC681A"/>
    <w:rsid w:val="00D072CD"/>
    <w:rsid w:val="00D72D89"/>
    <w:rsid w:val="00DB5646"/>
    <w:rsid w:val="00DE2C63"/>
    <w:rsid w:val="00E64EF8"/>
    <w:rsid w:val="00EC1A63"/>
    <w:rsid w:val="00F30B53"/>
    <w:rsid w:val="3CD1697A"/>
    <w:rsid w:val="6160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nhideWhenUsed/>
    <w:qFormat/>
    <w:uiPriority w:val="99"/>
    <w:pPr>
      <w:ind w:firstLine="480" w:firstLineChars="200"/>
    </w:pPr>
    <w:rPr>
      <w:sz w:val="24"/>
      <w:szCs w:val="24"/>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99"/>
    <w:rPr>
      <w:rFonts w:ascii="Calibri" w:hAnsi="Calibri" w:eastAsia="宋体" w:cs="宋体"/>
      <w:sz w:val="24"/>
      <w:szCs w:val="24"/>
    </w:rPr>
  </w:style>
  <w:style w:type="character" w:customStyle="1" w:styleId="8">
    <w:name w:val="页脚 Char"/>
    <w:basedOn w:val="6"/>
    <w:link w:val="3"/>
    <w:semiHidden/>
    <w:qFormat/>
    <w:uiPriority w:val="99"/>
    <w:rPr>
      <w:rFonts w:ascii="Calibri" w:hAnsi="Calibri" w:eastAsia="宋体" w:cs="宋体"/>
      <w:sz w:val="18"/>
      <w:szCs w:val="18"/>
    </w:rPr>
  </w:style>
  <w:style w:type="character" w:customStyle="1" w:styleId="9">
    <w:name w:val="页眉 Char"/>
    <w:basedOn w:val="6"/>
    <w:link w:val="4"/>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1168</Words>
  <Characters>6659</Characters>
  <Lines>55</Lines>
  <Paragraphs>15</Paragraphs>
  <TotalTime>2</TotalTime>
  <ScaleCrop>false</ScaleCrop>
  <LinksUpToDate>false</LinksUpToDate>
  <CharactersWithSpaces>7812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2020-05-24T14:08:00Z</dcterms:created>
  <dc:creator>Windows 用户</dc:creator>
  <cp:lastModifiedBy>BL</cp:lastModifiedBy>
  <dcterms:modified xsi:type="dcterms:W3CDTF">2020-06-28T02:11:35Z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