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97E934">
      <w:pPr>
        <w:widowControl/>
        <w:kinsoku w:val="0"/>
        <w:autoSpaceDE w:val="0"/>
        <w:autoSpaceDN w:val="0"/>
        <w:spacing w:line="240" w:lineRule="auto"/>
        <w:ind w:firstLine="0" w:firstLineChars="0"/>
        <w:jc w:val="both"/>
        <w:textAlignment w:val="baseline"/>
        <w:rPr>
          <w:rFonts w:hint="default" w:ascii="黑体" w:hAnsi="黑体" w:eastAsia="黑体" w:cs="黑体"/>
          <w:snapToGrid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snapToGrid/>
          <w:color w:val="auto"/>
          <w:kern w:val="2"/>
          <w:sz w:val="32"/>
          <w:szCs w:val="32"/>
          <w:lang w:val="en-US" w:eastAsia="zh-CN" w:bidi="ar-SA"/>
        </w:rPr>
        <w:t>附件3：</w:t>
      </w:r>
      <w:bookmarkStart w:id="0" w:name="_GoBack"/>
      <w:bookmarkEnd w:id="0"/>
    </w:p>
    <w:p w14:paraId="702DB6F9">
      <w:pPr>
        <w:spacing w:line="360" w:lineRule="auto"/>
        <w:ind w:firstLine="0" w:firstLineChars="0"/>
        <w:jc w:val="center"/>
        <w:rPr>
          <w:rFonts w:hint="default" w:ascii="黑体" w:hAnsi="黑体" w:eastAsia="黑体" w:cs="Times New Roman"/>
          <w:sz w:val="44"/>
          <w:szCs w:val="44"/>
          <w:lang w:val="en-US" w:eastAsia="zh-CN"/>
        </w:rPr>
      </w:pPr>
      <w:r>
        <w:rPr>
          <w:rFonts w:hint="eastAsia" w:ascii="黑体" w:hAnsi="黑体" w:eastAsia="黑体" w:cs="Times New Roman"/>
          <w:sz w:val="44"/>
          <w:szCs w:val="44"/>
        </w:rPr>
        <w:t>长治市试点企业</w:t>
      </w:r>
      <w:r>
        <w:rPr>
          <w:rFonts w:hint="eastAsia" w:ascii="黑体" w:hAnsi="黑体" w:eastAsia="黑体" w:cs="Times New Roman"/>
          <w:sz w:val="44"/>
          <w:szCs w:val="44"/>
          <w:lang w:val="en-US" w:eastAsia="zh-CN"/>
        </w:rPr>
        <w:t>征集</w:t>
      </w:r>
      <w:r>
        <w:rPr>
          <w:rFonts w:hint="eastAsia" w:ascii="黑体" w:hAnsi="黑体" w:eastAsia="黑体" w:cs="Times New Roman"/>
          <w:sz w:val="44"/>
          <w:szCs w:val="44"/>
        </w:rPr>
        <w:t>入库</w:t>
      </w:r>
      <w:r>
        <w:rPr>
          <w:rFonts w:hint="eastAsia" w:ascii="黑体" w:hAnsi="黑体" w:eastAsia="黑体" w:cs="Times New Roman"/>
          <w:sz w:val="44"/>
          <w:szCs w:val="44"/>
          <w:lang w:val="en-US" w:eastAsia="zh-CN"/>
        </w:rPr>
        <w:t>操作手册</w:t>
      </w:r>
    </w:p>
    <w:p w14:paraId="1BE245B9">
      <w:pPr>
        <w:spacing w:line="360" w:lineRule="auto"/>
        <w:ind w:firstLine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1、注册账号</w:t>
      </w:r>
    </w:p>
    <w:p w14:paraId="6FCBB57F">
      <w:pPr>
        <w:spacing w:line="360" w:lineRule="auto"/>
        <w:ind w:firstLine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企业在平台注册账号；平台地址：</w:t>
      </w:r>
      <w:r>
        <w:rPr>
          <w:rFonts w:ascii="等线" w:hAnsi="等线" w:eastAsia="等线" w:cs="Times New Roman"/>
          <w:sz w:val="21"/>
          <w:szCs w:val="22"/>
        </w:rPr>
        <w:fldChar w:fldCharType="begin"/>
      </w:r>
      <w:r>
        <w:rPr>
          <w:rFonts w:ascii="等线" w:hAnsi="等线" w:eastAsia="等线" w:cs="Times New Roman"/>
          <w:sz w:val="21"/>
          <w:szCs w:val="22"/>
        </w:rPr>
        <w:instrText xml:space="preserve"> HYPERLINK "http://60.220.220.240:8018/" </w:instrText>
      </w:r>
      <w:r>
        <w:rPr>
          <w:rFonts w:ascii="等线" w:hAnsi="等线" w:eastAsia="等线" w:cs="Times New Roman"/>
          <w:sz w:val="21"/>
          <w:szCs w:val="22"/>
        </w:rPr>
        <w:fldChar w:fldCharType="separate"/>
      </w:r>
      <w:r>
        <w:rPr>
          <w:rFonts w:ascii="仿宋" w:hAnsi="仿宋" w:eastAsia="仿宋" w:cs="Times New Roman"/>
          <w:color w:val="0563C1"/>
          <w:sz w:val="28"/>
          <w:szCs w:val="28"/>
          <w:u w:val="single"/>
        </w:rPr>
        <w:t>http://60.220.220.240:8018/</w:t>
      </w:r>
      <w:r>
        <w:rPr>
          <w:rFonts w:ascii="仿宋" w:hAnsi="仿宋" w:eastAsia="仿宋" w:cs="Times New Roman"/>
          <w:color w:val="0563C1"/>
          <w:sz w:val="28"/>
          <w:szCs w:val="28"/>
          <w:u w:val="single"/>
        </w:rPr>
        <w:fldChar w:fldCharType="end"/>
      </w:r>
    </w:p>
    <w:p w14:paraId="43FAB2F0">
      <w:pPr>
        <w:spacing w:line="360" w:lineRule="auto"/>
        <w:ind w:firstLine="0" w:firstLineChars="0"/>
        <w:rPr>
          <w:rFonts w:ascii="等线" w:hAnsi="等线" w:eastAsia="等线" w:cs="Times New Roman"/>
          <w:sz w:val="21"/>
          <w:szCs w:val="22"/>
        </w:rPr>
      </w:pPr>
      <w:r>
        <w:rPr>
          <w:rFonts w:ascii="等线" w:hAnsi="等线" w:eastAsia="等线" w:cs="Times New Roman"/>
          <w:sz w:val="21"/>
          <w:szCs w:val="22"/>
        </w:rPr>
        <w:drawing>
          <wp:inline distT="0" distB="0" distL="114300" distR="114300">
            <wp:extent cx="5269230" cy="2582545"/>
            <wp:effectExtent l="0" t="0" r="7620" b="825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EA36E">
      <w:pPr>
        <w:spacing w:line="360" w:lineRule="auto"/>
        <w:ind w:firstLine="0" w:firstLineChars="0"/>
        <w:rPr>
          <w:rFonts w:ascii="等线" w:hAnsi="等线" w:eastAsia="等线" w:cs="Times New Roman"/>
          <w:sz w:val="21"/>
          <w:szCs w:val="22"/>
        </w:rPr>
      </w:pPr>
      <w:r>
        <w:rPr>
          <w:rFonts w:ascii="等线" w:hAnsi="等线" w:eastAsia="等线" w:cs="Times New Roman"/>
          <w:sz w:val="21"/>
          <w:szCs w:val="22"/>
        </w:rPr>
        <w:drawing>
          <wp:inline distT="0" distB="0" distL="114300" distR="114300">
            <wp:extent cx="5271770" cy="2151380"/>
            <wp:effectExtent l="0" t="0" r="5080" b="127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EA437">
      <w:pPr>
        <w:spacing w:line="360" w:lineRule="auto"/>
        <w:ind w:firstLine="0" w:firstLineChars="0"/>
        <w:rPr>
          <w:rFonts w:ascii="等线" w:hAnsi="等线" w:eastAsia="等线" w:cs="Times New Roman"/>
          <w:sz w:val="21"/>
          <w:szCs w:val="22"/>
        </w:rPr>
      </w:pPr>
      <w:r>
        <w:rPr>
          <w:rFonts w:ascii="等线" w:hAnsi="等线" w:eastAsia="等线" w:cs="Times New Roman"/>
          <w:sz w:val="21"/>
          <w:szCs w:val="22"/>
        </w:rPr>
        <w:drawing>
          <wp:inline distT="0" distB="0" distL="0" distR="0">
            <wp:extent cx="5259705" cy="2164715"/>
            <wp:effectExtent l="0" t="0" r="762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t="97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E627">
      <w:pPr>
        <w:spacing w:line="360" w:lineRule="auto"/>
        <w:ind w:firstLine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2</w:t>
      </w:r>
      <w:r>
        <w:rPr>
          <w:rFonts w:hint="eastAsia" w:ascii="仿宋" w:hAnsi="仿宋" w:eastAsia="仿宋" w:cs="Times New Roman"/>
          <w:sz w:val="28"/>
          <w:szCs w:val="28"/>
        </w:rPr>
        <w:t>、平台登录及角色认证</w:t>
      </w:r>
    </w:p>
    <w:p w14:paraId="05033379">
      <w:pPr>
        <w:spacing w:line="360" w:lineRule="auto"/>
        <w:ind w:firstLine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注册完成后，登录平台，登录后进入</w:t>
      </w:r>
      <w:r>
        <w:rPr>
          <w:rFonts w:hint="eastAsia" w:ascii="仿宋" w:hAnsi="仿宋" w:eastAsia="仿宋" w:cs="Times New Roman"/>
          <w:b/>
          <w:bCs/>
          <w:sz w:val="28"/>
          <w:szCs w:val="28"/>
        </w:rPr>
        <w:t>工作台</w:t>
      </w:r>
      <w:r>
        <w:rPr>
          <w:rFonts w:hint="eastAsia" w:ascii="仿宋" w:hAnsi="仿宋" w:eastAsia="仿宋" w:cs="Times New Roman"/>
          <w:sz w:val="28"/>
          <w:szCs w:val="28"/>
        </w:rPr>
        <w:t>进行企业角色认证；</w:t>
      </w:r>
    </w:p>
    <w:p w14:paraId="2078EA66">
      <w:pPr>
        <w:spacing w:line="360" w:lineRule="auto"/>
        <w:ind w:firstLine="0" w:firstLineChars="0"/>
        <w:rPr>
          <w:rFonts w:ascii="等线" w:hAnsi="等线" w:eastAsia="等线" w:cs="Times New Roman"/>
          <w:sz w:val="21"/>
          <w:szCs w:val="22"/>
        </w:rPr>
      </w:pPr>
      <w:r>
        <w:rPr>
          <w:rFonts w:ascii="等线" w:hAnsi="等线" w:eastAsia="等线" w:cs="Times New Roman"/>
          <w:sz w:val="21"/>
          <w:szCs w:val="22"/>
        </w:rPr>
        <w:drawing>
          <wp:inline distT="0" distB="0" distL="114300" distR="114300">
            <wp:extent cx="5273040" cy="2209800"/>
            <wp:effectExtent l="0" t="0" r="3810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E09CD">
      <w:pPr>
        <w:spacing w:line="360" w:lineRule="auto"/>
        <w:ind w:firstLine="0" w:firstLineChars="0"/>
        <w:rPr>
          <w:rFonts w:ascii="等线" w:hAnsi="等线" w:eastAsia="等线" w:cs="Times New Roman"/>
          <w:sz w:val="21"/>
          <w:szCs w:val="22"/>
        </w:rPr>
      </w:pPr>
      <w:r>
        <w:rPr>
          <w:rFonts w:ascii="等线" w:hAnsi="等线" w:eastAsia="等线" w:cs="Times New Roman"/>
          <w:sz w:val="21"/>
          <w:szCs w:val="22"/>
        </w:rPr>
        <w:drawing>
          <wp:inline distT="0" distB="0" distL="114300" distR="114300">
            <wp:extent cx="5271770" cy="2404745"/>
            <wp:effectExtent l="0" t="0" r="5080" b="508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5DBB6">
      <w:pPr>
        <w:spacing w:line="360" w:lineRule="auto"/>
        <w:ind w:firstLine="0" w:firstLineChars="0"/>
        <w:rPr>
          <w:rFonts w:ascii="等线" w:hAnsi="等线" w:eastAsia="等线" w:cs="Times New Roman"/>
          <w:sz w:val="21"/>
          <w:szCs w:val="22"/>
        </w:rPr>
      </w:pPr>
    </w:p>
    <w:p w14:paraId="79EC0DF1">
      <w:pPr>
        <w:spacing w:line="360" w:lineRule="auto"/>
        <w:ind w:firstLine="0" w:firstLineChars="0"/>
        <w:rPr>
          <w:rFonts w:ascii="等线" w:hAnsi="等线" w:eastAsia="等线" w:cs="Times New Roman"/>
          <w:sz w:val="21"/>
          <w:szCs w:val="22"/>
        </w:rPr>
      </w:pPr>
      <w:r>
        <w:rPr>
          <w:rFonts w:ascii="等线" w:hAnsi="等线" w:eastAsia="等线" w:cs="Times New Roman"/>
          <w:sz w:val="21"/>
          <w:szCs w:val="22"/>
        </w:rPr>
        <w:drawing>
          <wp:inline distT="0" distB="0" distL="114300" distR="114300">
            <wp:extent cx="4972050" cy="2578100"/>
            <wp:effectExtent l="0" t="0" r="0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4DFDE">
      <w:pPr>
        <w:spacing w:line="360" w:lineRule="auto"/>
        <w:ind w:firstLine="0" w:firstLineChars="0"/>
        <w:rPr>
          <w:rFonts w:ascii="等线" w:hAnsi="等线" w:eastAsia="等线" w:cs="Times New Roman"/>
          <w:sz w:val="21"/>
          <w:szCs w:val="22"/>
        </w:rPr>
      </w:pPr>
      <w:r>
        <w:rPr>
          <w:rFonts w:ascii="等线" w:hAnsi="等线" w:eastAsia="等线" w:cs="Times New Roman"/>
          <w:sz w:val="21"/>
          <w:szCs w:val="22"/>
        </w:rPr>
        <w:drawing>
          <wp:inline distT="0" distB="0" distL="114300" distR="114300">
            <wp:extent cx="5266690" cy="3050540"/>
            <wp:effectExtent l="0" t="0" r="635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6E987">
      <w:pPr>
        <w:spacing w:line="360" w:lineRule="auto"/>
        <w:ind w:firstLine="0" w:firstLineChars="0"/>
        <w:rPr>
          <w:rFonts w:ascii="等线" w:hAnsi="等线" w:eastAsia="等线" w:cs="Times New Roman"/>
          <w:sz w:val="21"/>
          <w:szCs w:val="22"/>
        </w:rPr>
      </w:pPr>
    </w:p>
    <w:p w14:paraId="2CD303D8">
      <w:pPr>
        <w:spacing w:line="360" w:lineRule="auto"/>
        <w:ind w:firstLine="0" w:firstLineChars="0"/>
        <w:rPr>
          <w:rFonts w:hint="default" w:ascii="等线" w:hAnsi="等线" w:eastAsia="等线" w:cs="Times New Roman"/>
          <w:b/>
          <w:bCs/>
          <w:sz w:val="21"/>
          <w:szCs w:val="22"/>
          <w:lang w:val="en-US" w:eastAsia="zh-CN"/>
        </w:rPr>
      </w:pPr>
      <w:r>
        <w:rPr>
          <w:rFonts w:hint="eastAsia" w:ascii="等线" w:hAnsi="等线" w:eastAsia="等线" w:cs="Times New Roman"/>
          <w:b/>
          <w:bCs/>
          <w:sz w:val="21"/>
          <w:szCs w:val="22"/>
          <w:lang w:val="en-US" w:eastAsia="zh-CN"/>
        </w:rPr>
        <w:t>注：所属行业从（非金属新材料制造业、先进成套设备制造业、智能电力设备制造业、绿色化工新材料制造业）四个试点行业中进行选取。</w:t>
      </w:r>
    </w:p>
    <w:p w14:paraId="50280FF0">
      <w:pPr>
        <w:spacing w:line="360" w:lineRule="auto"/>
        <w:ind w:firstLine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4、企业认证信息审核通过后，</w:t>
      </w:r>
      <w:r>
        <w:rPr>
          <w:rFonts w:hint="eastAsia" w:ascii="仿宋" w:hAnsi="仿宋" w:eastAsia="仿宋" w:cs="Times New Roman"/>
          <w:b/>
          <w:bCs/>
          <w:sz w:val="28"/>
          <w:szCs w:val="28"/>
          <w:lang w:val="en-US" w:eastAsia="zh-CN"/>
        </w:rPr>
        <w:t>重新</w:t>
      </w:r>
      <w:r>
        <w:rPr>
          <w:rFonts w:hint="eastAsia" w:ascii="仿宋" w:hAnsi="仿宋" w:eastAsia="仿宋" w:cs="Times New Roman"/>
          <w:b/>
          <w:bCs/>
          <w:sz w:val="28"/>
          <w:szCs w:val="28"/>
        </w:rPr>
        <w:t>登录平台</w:t>
      </w:r>
      <w:r>
        <w:rPr>
          <w:rFonts w:hint="eastAsia" w:ascii="仿宋" w:hAnsi="仿宋" w:eastAsia="仿宋" w:cs="Times New Roman"/>
          <w:sz w:val="28"/>
          <w:szCs w:val="28"/>
        </w:rPr>
        <w:t>会展示相应的角色入口；</w:t>
      </w:r>
      <w:r>
        <w:rPr>
          <w:rFonts w:hint="eastAsia" w:ascii="仿宋" w:hAnsi="仿宋" w:eastAsia="仿宋" w:cs="Times New Roman"/>
          <w:b/>
          <w:bCs/>
          <w:sz w:val="28"/>
          <w:szCs w:val="28"/>
        </w:rPr>
        <w:t>企业登录后展示企业入口</w:t>
      </w:r>
      <w:r>
        <w:rPr>
          <w:rFonts w:hint="eastAsia" w:ascii="仿宋" w:hAnsi="仿宋" w:eastAsia="仿宋" w:cs="Times New Roman"/>
          <w:sz w:val="28"/>
          <w:szCs w:val="28"/>
        </w:rPr>
        <w:t>，其余入口置灰且不支持进入；</w:t>
      </w:r>
    </w:p>
    <w:p w14:paraId="0008A979">
      <w:pPr>
        <w:spacing w:line="360" w:lineRule="auto"/>
        <w:ind w:firstLine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Times New Roman"/>
          <w:sz w:val="21"/>
          <w:szCs w:val="22"/>
        </w:rPr>
        <w:drawing>
          <wp:inline distT="0" distB="0" distL="0" distR="0">
            <wp:extent cx="5274310" cy="2234565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 t="107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EDD4A">
      <w:pPr>
        <w:spacing w:line="360" w:lineRule="auto"/>
        <w:ind w:firstLine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5</w:t>
      </w:r>
      <w:r>
        <w:rPr>
          <w:rFonts w:hint="eastAsia" w:ascii="仿宋" w:hAnsi="仿宋" w:eastAsia="仿宋" w:cs="Times New Roman"/>
          <w:sz w:val="28"/>
          <w:szCs w:val="28"/>
        </w:rPr>
        <w:t>、试点企业申报</w:t>
      </w:r>
    </w:p>
    <w:p w14:paraId="291C7449">
      <w:pPr>
        <w:spacing w:line="360" w:lineRule="auto"/>
        <w:ind w:firstLine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根据角色进入相应入口，点击试点企业申报进入试点企业申报页面，点击“发起”按钮，</w:t>
      </w:r>
      <w:r>
        <w:rPr>
          <w:rFonts w:hint="eastAsia" w:ascii="仿宋" w:hAnsi="仿宋" w:eastAsia="仿宋" w:cs="Times New Roman"/>
          <w:b/>
          <w:bCs/>
          <w:sz w:val="28"/>
          <w:szCs w:val="28"/>
        </w:rPr>
        <w:t>弹窗</w:t>
      </w:r>
      <w:r>
        <w:rPr>
          <w:rFonts w:hint="eastAsia" w:ascii="仿宋" w:hAnsi="仿宋" w:eastAsia="仿宋" w:cs="Times New Roman"/>
          <w:b/>
          <w:bCs/>
          <w:sz w:val="28"/>
          <w:szCs w:val="28"/>
          <w:lang w:val="en-US" w:eastAsia="zh-CN"/>
        </w:rPr>
        <w:t>自动</w:t>
      </w:r>
      <w:r>
        <w:rPr>
          <w:rFonts w:hint="eastAsia" w:ascii="仿宋" w:hAnsi="仿宋" w:eastAsia="仿宋" w:cs="Times New Roman"/>
          <w:b/>
          <w:bCs/>
          <w:sz w:val="28"/>
          <w:szCs w:val="28"/>
        </w:rPr>
        <w:t>展示企业在平台认证部分信息</w:t>
      </w:r>
      <w:r>
        <w:rPr>
          <w:rFonts w:hint="eastAsia" w:ascii="仿宋" w:hAnsi="仿宋" w:eastAsia="仿宋" w:cs="Times New Roman"/>
          <w:b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Times New Roman"/>
          <w:b/>
          <w:bCs/>
          <w:sz w:val="28"/>
          <w:szCs w:val="28"/>
          <w:lang w:val="en-US" w:eastAsia="zh-CN"/>
        </w:rPr>
        <w:t>自动提取企业名称、行政区划、统一社会信用代码、试点行业等信息</w:t>
      </w:r>
      <w:r>
        <w:rPr>
          <w:rFonts w:hint="eastAsia" w:ascii="仿宋" w:hAnsi="仿宋" w:eastAsia="仿宋" w:cs="Times New Roman"/>
          <w:b/>
          <w:bCs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Times New Roman"/>
          <w:sz w:val="28"/>
          <w:szCs w:val="28"/>
        </w:rPr>
        <w:t>，点击弹窗页面的“发起”，即发起试点企业申报入库流程；</w:t>
      </w:r>
    </w:p>
    <w:p w14:paraId="0BEC8FC9">
      <w:pPr>
        <w:spacing w:line="360" w:lineRule="auto"/>
        <w:ind w:firstLine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Times New Roman"/>
          <w:sz w:val="21"/>
          <w:szCs w:val="22"/>
        </w:rPr>
        <w:drawing>
          <wp:inline distT="0" distB="0" distL="114300" distR="114300">
            <wp:extent cx="38100" cy="317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Times New Roman"/>
          <w:sz w:val="21"/>
          <w:szCs w:val="22"/>
        </w:rPr>
        <w:drawing>
          <wp:inline distT="0" distB="0" distL="0" distR="0">
            <wp:extent cx="5274310" cy="2504440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03BA6">
      <w:pPr>
        <w:spacing w:line="360" w:lineRule="auto"/>
        <w:ind w:firstLine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Times New Roman"/>
          <w:sz w:val="21"/>
          <w:szCs w:val="22"/>
        </w:rPr>
        <w:drawing>
          <wp:inline distT="0" distB="0" distL="0" distR="0">
            <wp:extent cx="5274310" cy="2504440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52CD2">
      <w:pPr>
        <w:spacing w:line="360" w:lineRule="auto"/>
        <w:ind w:firstLine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Times New Roman"/>
          <w:sz w:val="21"/>
          <w:szCs w:val="22"/>
        </w:rPr>
        <w:drawing>
          <wp:inline distT="0" distB="0" distL="114300" distR="114300">
            <wp:extent cx="5271770" cy="3556000"/>
            <wp:effectExtent l="0" t="0" r="5080" b="635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E380E">
      <w:pPr>
        <w:spacing w:line="360" w:lineRule="auto"/>
        <w:ind w:firstLine="0" w:firstLineChars="0"/>
        <w:rPr>
          <w:rFonts w:hint="eastAsia"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在“我创建的”的页面，点击详情，支持查看审批流程；</w:t>
      </w:r>
    </w:p>
    <w:p w14:paraId="3EC17D58">
      <w:pPr>
        <w:spacing w:line="360" w:lineRule="auto"/>
        <w:ind w:firstLine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Times New Roman"/>
          <w:sz w:val="21"/>
          <w:szCs w:val="22"/>
        </w:rPr>
        <w:drawing>
          <wp:inline distT="0" distB="0" distL="0" distR="0">
            <wp:extent cx="5274310" cy="2504440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13540">
      <w:pPr>
        <w:spacing w:line="360" w:lineRule="auto"/>
        <w:ind w:firstLine="0" w:firstLineChars="0"/>
        <w:rPr>
          <w:rFonts w:hint="eastAsia"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Times New Roman"/>
          <w:sz w:val="21"/>
          <w:szCs w:val="22"/>
        </w:rPr>
        <w:drawing>
          <wp:inline distT="0" distB="0" distL="0" distR="0">
            <wp:extent cx="5274310" cy="2504440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28781">
      <w:pPr>
        <w:spacing w:line="360" w:lineRule="auto"/>
        <w:ind w:firstLine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6、区县工信局审批</w:t>
      </w:r>
    </w:p>
    <w:p w14:paraId="4EF849D7">
      <w:pPr>
        <w:spacing w:line="360" w:lineRule="auto"/>
        <w:ind w:firstLine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在平台登录区县工信局账号，登陆后展示工信局入口，其余入口置灰不支持进入；</w:t>
      </w:r>
    </w:p>
    <w:p w14:paraId="0C304EBC">
      <w:pPr>
        <w:spacing w:line="360" w:lineRule="auto"/>
        <w:ind w:firstLine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Times New Roman"/>
          <w:sz w:val="21"/>
          <w:szCs w:val="22"/>
        </w:rPr>
        <w:drawing>
          <wp:inline distT="0" distB="0" distL="0" distR="0">
            <wp:extent cx="5274310" cy="24479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97992">
      <w:pPr>
        <w:spacing w:line="360" w:lineRule="auto"/>
        <w:ind w:firstLine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Times New Roman"/>
          <w:sz w:val="21"/>
          <w:szCs w:val="22"/>
        </w:rPr>
        <w:drawing>
          <wp:inline distT="0" distB="0" distL="0" distR="0">
            <wp:extent cx="5274310" cy="2570480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FA388">
      <w:pPr>
        <w:spacing w:line="360" w:lineRule="auto"/>
        <w:ind w:firstLine="0" w:firstLineChars="0"/>
        <w:rPr>
          <w:rFonts w:hint="eastAsia"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Times New Roman"/>
          <w:sz w:val="21"/>
          <w:szCs w:val="22"/>
        </w:rPr>
        <w:drawing>
          <wp:inline distT="0" distB="0" distL="0" distR="0">
            <wp:extent cx="5274310" cy="2607945"/>
            <wp:effectExtent l="0" t="0" r="254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35895">
      <w:pPr>
        <w:spacing w:line="360" w:lineRule="auto"/>
        <w:ind w:firstLine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7、市工信局审批</w:t>
      </w:r>
    </w:p>
    <w:p w14:paraId="5F072159">
      <w:pPr>
        <w:spacing w:line="360" w:lineRule="auto"/>
        <w:ind w:firstLine="0" w:firstLineChars="0"/>
        <w:rPr>
          <w:rFonts w:hint="eastAsia"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在平台登录市工信局账号，登陆后展示工信局入口，其余入口置灰不支持进入；</w:t>
      </w:r>
    </w:p>
    <w:p w14:paraId="23D0BC4B">
      <w:pPr>
        <w:spacing w:line="360" w:lineRule="auto"/>
        <w:ind w:firstLine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Times New Roman"/>
          <w:sz w:val="21"/>
          <w:szCs w:val="22"/>
        </w:rPr>
        <w:drawing>
          <wp:inline distT="0" distB="0" distL="0" distR="0">
            <wp:extent cx="5274310" cy="2195830"/>
            <wp:effectExtent l="0" t="0" r="254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rcRect t="102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BD8A4">
      <w:pPr>
        <w:spacing w:line="360" w:lineRule="auto"/>
        <w:ind w:firstLine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Times New Roman"/>
          <w:sz w:val="21"/>
          <w:szCs w:val="22"/>
        </w:rPr>
        <w:drawing>
          <wp:inline distT="0" distB="0" distL="0" distR="0">
            <wp:extent cx="5274310" cy="24479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65A52">
      <w:r>
        <w:rPr>
          <w:rFonts w:ascii="等线" w:hAnsi="等线" w:eastAsia="等线" w:cs="Times New Roman"/>
          <w:sz w:val="21"/>
          <w:szCs w:val="22"/>
        </w:rPr>
        <w:drawing>
          <wp:inline distT="0" distB="0" distL="0" distR="0">
            <wp:extent cx="5274310" cy="244792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3B71BD"/>
    <w:rsid w:val="01E40D4B"/>
    <w:rsid w:val="05EB6C80"/>
    <w:rsid w:val="060B4EA7"/>
    <w:rsid w:val="0B79593B"/>
    <w:rsid w:val="0DF65D91"/>
    <w:rsid w:val="11885555"/>
    <w:rsid w:val="127A63D7"/>
    <w:rsid w:val="146F27ED"/>
    <w:rsid w:val="15221C64"/>
    <w:rsid w:val="16057833"/>
    <w:rsid w:val="165A5289"/>
    <w:rsid w:val="19C608D9"/>
    <w:rsid w:val="1CD012E8"/>
    <w:rsid w:val="1E576760"/>
    <w:rsid w:val="1E7240E2"/>
    <w:rsid w:val="224C6605"/>
    <w:rsid w:val="26013B1B"/>
    <w:rsid w:val="273B71BD"/>
    <w:rsid w:val="27E76856"/>
    <w:rsid w:val="28F74D45"/>
    <w:rsid w:val="297C3326"/>
    <w:rsid w:val="2B512F57"/>
    <w:rsid w:val="2CCC2A46"/>
    <w:rsid w:val="2F0D35E6"/>
    <w:rsid w:val="303207FD"/>
    <w:rsid w:val="31610AB1"/>
    <w:rsid w:val="31CC4F3E"/>
    <w:rsid w:val="3271353A"/>
    <w:rsid w:val="332D71A2"/>
    <w:rsid w:val="35645468"/>
    <w:rsid w:val="36262206"/>
    <w:rsid w:val="39FB4AE5"/>
    <w:rsid w:val="3A4A4E18"/>
    <w:rsid w:val="3B36794F"/>
    <w:rsid w:val="3BE42917"/>
    <w:rsid w:val="3C7F5717"/>
    <w:rsid w:val="3D023F8C"/>
    <w:rsid w:val="3F4E1EAB"/>
    <w:rsid w:val="42D04C92"/>
    <w:rsid w:val="42FD25C4"/>
    <w:rsid w:val="47527531"/>
    <w:rsid w:val="48254013"/>
    <w:rsid w:val="4CC200A6"/>
    <w:rsid w:val="512775E1"/>
    <w:rsid w:val="52900D39"/>
    <w:rsid w:val="52AC5CCF"/>
    <w:rsid w:val="53515D9E"/>
    <w:rsid w:val="53A60D6A"/>
    <w:rsid w:val="58562F86"/>
    <w:rsid w:val="591621D7"/>
    <w:rsid w:val="5F892770"/>
    <w:rsid w:val="60741AAF"/>
    <w:rsid w:val="685E69DB"/>
    <w:rsid w:val="6B5F1C7F"/>
    <w:rsid w:val="6C507CC5"/>
    <w:rsid w:val="6C581F33"/>
    <w:rsid w:val="6C8B500F"/>
    <w:rsid w:val="70313AB0"/>
    <w:rsid w:val="72323AE2"/>
    <w:rsid w:val="72F31582"/>
    <w:rsid w:val="73050507"/>
    <w:rsid w:val="75BD753B"/>
    <w:rsid w:val="767845C1"/>
    <w:rsid w:val="77D06EE8"/>
    <w:rsid w:val="7A876C07"/>
    <w:rsid w:val="7BC30FB1"/>
    <w:rsid w:val="7C786487"/>
    <w:rsid w:val="7CE34539"/>
    <w:rsid w:val="7F770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80" w:firstLineChars="200"/>
      <w:jc w:val="both"/>
    </w:pPr>
    <w:rPr>
      <w:rFonts w:ascii="Times New Roman" w:hAnsi="Times New Roman" w:eastAsia="仿宋_GB2312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260" w:beforeAutospacing="0" w:after="260" w:afterAutospacing="0"/>
      <w:jc w:val="left"/>
      <w:outlineLvl w:val="0"/>
    </w:pPr>
    <w:rPr>
      <w:rFonts w:hint="eastAsia" w:ascii="宋体" w:hAnsi="宋体" w:eastAsia="黑体" w:cs="宋体"/>
      <w:b/>
      <w:bCs/>
      <w:kern w:val="44"/>
      <w:szCs w:val="48"/>
      <w:lang w:bidi="ar"/>
    </w:rPr>
  </w:style>
  <w:style w:type="paragraph" w:styleId="3">
    <w:name w:val="heading 2"/>
    <w:basedOn w:val="1"/>
    <w:next w:val="1"/>
    <w:link w:val="19"/>
    <w:semiHidden/>
    <w:unhideWhenUsed/>
    <w:qFormat/>
    <w:uiPriority w:val="0"/>
    <w:pPr>
      <w:keepNext/>
      <w:keepLines/>
      <w:spacing w:before="60" w:beforeLines="0" w:beforeAutospacing="0" w:after="60" w:afterLines="0" w:afterAutospacing="0" w:line="600" w:lineRule="exact"/>
      <w:ind w:firstLine="0" w:firstLineChars="0"/>
      <w:jc w:val="center"/>
      <w:outlineLvl w:val="1"/>
    </w:pPr>
    <w:rPr>
      <w:rFonts w:ascii="Times New Roman" w:hAnsi="Times New Roman" w:eastAsia="楷体_GB2312" w:cs="Times New Roman"/>
      <w:b/>
    </w:rPr>
  </w:style>
  <w:style w:type="paragraph" w:styleId="4">
    <w:name w:val="heading 3"/>
    <w:basedOn w:val="1"/>
    <w:next w:val="1"/>
    <w:link w:val="18"/>
    <w:semiHidden/>
    <w:unhideWhenUsed/>
    <w:qFormat/>
    <w:uiPriority w:val="0"/>
    <w:pPr>
      <w:keepNext/>
      <w:keepLines/>
      <w:widowControl w:val="0"/>
      <w:spacing w:before="60" w:beforeAutospacing="0" w:after="60" w:afterAutospacing="0" w:line="600" w:lineRule="exact"/>
      <w:ind w:left="0" w:firstLine="880" w:firstLineChars="200"/>
      <w:outlineLvl w:val="2"/>
    </w:pPr>
    <w:rPr>
      <w:rFonts w:ascii="Times New Roman" w:hAnsi="Times New Roman" w:cs="Arial"/>
      <w:b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60" w:beforeLines="0" w:beforeAutospacing="0" w:after="60" w:afterLines="0" w:afterAutospacing="0" w:line="600" w:lineRule="exact"/>
      <w:outlineLvl w:val="3"/>
    </w:pPr>
    <w:rPr>
      <w:rFonts w:ascii="Times New Roman" w:hAnsi="Times New Roman" w:cstheme="minorBidi"/>
      <w:b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next w:val="1"/>
    <w:qFormat/>
    <w:uiPriority w:val="0"/>
    <w:pPr>
      <w:spacing w:after="120" w:afterLines="0" w:afterAutospacing="0"/>
    </w:pPr>
    <w:rPr>
      <w:rFonts w:ascii="Times New Roman" w:hAnsi="Times New Roman" w:cs="Times New Roman"/>
    </w:rPr>
  </w:style>
  <w:style w:type="paragraph" w:styleId="7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  <w:style w:type="paragraph" w:styleId="8">
    <w:name w:val="toc 3"/>
    <w:basedOn w:val="1"/>
    <w:next w:val="1"/>
    <w:qFormat/>
    <w:uiPriority w:val="0"/>
    <w:pPr>
      <w:ind w:left="840" w:leftChars="400" w:firstLine="0" w:firstLineChars="0"/>
    </w:pPr>
    <w:rPr>
      <w:rFonts w:ascii="Times New Roman" w:hAnsi="Times New Roman" w:cstheme="minorBidi"/>
      <w:w w:val="100"/>
    </w:rPr>
  </w:style>
  <w:style w:type="paragraph" w:styleId="9">
    <w:name w:val="toc 1"/>
    <w:basedOn w:val="1"/>
    <w:next w:val="1"/>
    <w:qFormat/>
    <w:uiPriority w:val="0"/>
    <w:pPr>
      <w:ind w:firstLine="0" w:firstLineChars="0"/>
    </w:pPr>
    <w:rPr>
      <w:rFonts w:ascii="Times New Roman" w:hAnsi="Times New Roman" w:eastAsia="黑体" w:cstheme="minorBidi"/>
    </w:rPr>
  </w:style>
  <w:style w:type="paragraph" w:styleId="10">
    <w:name w:val="toc 2"/>
    <w:basedOn w:val="1"/>
    <w:next w:val="1"/>
    <w:qFormat/>
    <w:uiPriority w:val="0"/>
    <w:pPr>
      <w:ind w:left="0" w:leftChars="0"/>
    </w:pPr>
    <w:rPr>
      <w:rFonts w:ascii="Times New Roman" w:hAnsi="Times New Roman" w:eastAsia="楷体" w:cstheme="minorBidi"/>
    </w:rPr>
  </w:style>
  <w:style w:type="paragraph" w:styleId="11">
    <w:name w:val="Body Text First Indent"/>
    <w:basedOn w:val="6"/>
    <w:qFormat/>
    <w:uiPriority w:val="0"/>
    <w:pPr>
      <w:ind w:firstLine="420" w:firstLineChars="100"/>
    </w:pPr>
  </w:style>
  <w:style w:type="paragraph" w:styleId="12">
    <w:name w:val="Body Text First Indent 2"/>
    <w:basedOn w:val="7"/>
    <w:qFormat/>
    <w:uiPriority w:val="0"/>
    <w:pPr>
      <w:ind w:left="0" w:leftChars="0" w:firstLine="420"/>
    </w:pPr>
    <w:rPr>
      <w:rFonts w:ascii="Times New Roman" w:hAnsi="Times New Roman"/>
    </w:rPr>
  </w:style>
  <w:style w:type="paragraph" w:customStyle="1" w:styleId="15">
    <w:name w:val="WPSOffice手动目录 1"/>
    <w:qFormat/>
    <w:uiPriority w:val="0"/>
    <w:pPr>
      <w:spacing w:line="600" w:lineRule="exact"/>
      <w:ind w:leftChars="0"/>
    </w:pPr>
    <w:rPr>
      <w:rFonts w:ascii="Times New Roman" w:hAnsi="Times New Roman" w:eastAsia="黑体" w:cstheme="minorBidi"/>
      <w:sz w:val="32"/>
      <w:szCs w:val="20"/>
    </w:rPr>
  </w:style>
  <w:style w:type="paragraph" w:customStyle="1" w:styleId="16">
    <w:name w:val="WPSOffice手动目录 2"/>
    <w:autoRedefine/>
    <w:qFormat/>
    <w:uiPriority w:val="0"/>
    <w:pPr>
      <w:spacing w:line="600" w:lineRule="exact"/>
      <w:ind w:leftChars="0" w:firstLine="1041" w:firstLineChars="200"/>
    </w:pPr>
    <w:rPr>
      <w:rFonts w:ascii="Times New Roman" w:hAnsi="Times New Roman" w:eastAsia="楷体" w:cstheme="minorBidi"/>
      <w:sz w:val="32"/>
      <w:szCs w:val="20"/>
    </w:rPr>
  </w:style>
  <w:style w:type="paragraph" w:customStyle="1" w:styleId="17">
    <w:name w:val="WPSOffice手动目录 3"/>
    <w:qFormat/>
    <w:uiPriority w:val="0"/>
    <w:pPr>
      <w:spacing w:line="600" w:lineRule="exact"/>
      <w:ind w:leftChars="0" w:firstLine="2082" w:firstLineChars="400"/>
    </w:pPr>
    <w:rPr>
      <w:rFonts w:ascii="Times New Roman" w:hAnsi="Times New Roman" w:eastAsia="仿宋_GB2312" w:cstheme="minorBidi"/>
      <w:sz w:val="30"/>
      <w:szCs w:val="20"/>
    </w:rPr>
  </w:style>
  <w:style w:type="character" w:customStyle="1" w:styleId="18">
    <w:name w:val="标题 3 Char"/>
    <w:link w:val="4"/>
    <w:qFormat/>
    <w:uiPriority w:val="0"/>
    <w:rPr>
      <w:rFonts w:ascii="Times New Roman" w:hAnsi="Times New Roman" w:eastAsia="仿宋_GB2312" w:cs="宋体"/>
      <w:b/>
      <w:sz w:val="32"/>
    </w:rPr>
  </w:style>
  <w:style w:type="character" w:customStyle="1" w:styleId="19">
    <w:name w:val="标题 2 Char"/>
    <w:basedOn w:val="14"/>
    <w:link w:val="3"/>
    <w:autoRedefine/>
    <w:qFormat/>
    <w:uiPriority w:val="9"/>
    <w:rPr>
      <w:rFonts w:ascii="Times New Roman" w:hAnsi="Times New Roman" w:eastAsia="楷体_GB2312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2025-12-03T07:45:00Z</dcterms:created>
  <dc:creator>Passion&amp;Exclusive</dc:creator>
  <cp:lastModifiedBy>Passion&amp;Exclusive</cp:lastModifiedBy>
  <dcterms:modified xsi:type="dcterms:W3CDTF">2025-12-03T07:46:19Z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D883E051D1524813AB545ADEA1986419_11</vt:lpwstr>
  </property>
  <property fmtid="{D5CDD505-2E9C-101B-9397-08002B2CF9AE}" pid="4" name="KSOTemplateDocerSaveRecord">
    <vt:lpwstr>eyJoZGlkIjoiNjFkNzIwN2U3YWQwMzNlNTExNWY0Yjg3MmQzMmM1MGEiLCJ1c2VySWQiOiIyNTM0MTQ1OTUifQ==</vt:lpwstr>
  </property>
</Properties>
</file>