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Theme="minorEastAsia" w:hAnsiTheme="minorEastAsia" w:eastAsiaTheme="minorEastAsia"/>
          <w:b/>
          <w:kern w:val="36"/>
          <w:sz w:val="32"/>
          <w:szCs w:val="32"/>
          <w:lang w:val="zh-TW" w:eastAsia="zh-TW"/>
        </w:rPr>
      </w:pPr>
    </w:p>
    <w:p>
      <w:pPr>
        <w:spacing w:line="560" w:lineRule="exact"/>
        <w:jc w:val="center"/>
        <w:outlineLvl w:val="0"/>
        <w:rPr>
          <w:rFonts w:hint="eastAsia" w:asciiTheme="minorEastAsia" w:hAnsiTheme="minorEastAsia" w:eastAsiaTheme="minorEastAsia"/>
          <w:b/>
          <w:kern w:val="36"/>
          <w:sz w:val="32"/>
          <w:szCs w:val="32"/>
          <w:lang w:val="zh-TW" w:eastAsia="zh-TW"/>
        </w:rPr>
      </w:pPr>
    </w:p>
    <w:p>
      <w:pPr>
        <w:spacing w:line="560" w:lineRule="exact"/>
        <w:jc w:val="center"/>
        <w:outlineLvl w:val="0"/>
        <w:rPr>
          <w:rFonts w:hint="eastAsia" w:asciiTheme="minorEastAsia" w:hAnsiTheme="minorEastAsia" w:eastAsiaTheme="minorEastAsia"/>
          <w:b/>
          <w:kern w:val="36"/>
          <w:sz w:val="32"/>
          <w:szCs w:val="32"/>
          <w:lang w:val="zh-TW" w:eastAsia="zh-TW"/>
        </w:rPr>
      </w:pPr>
    </w:p>
    <w:p>
      <w:pPr>
        <w:spacing w:line="560" w:lineRule="exact"/>
        <w:jc w:val="center"/>
        <w:outlineLvl w:val="0"/>
        <w:rPr>
          <w:rFonts w:hint="eastAsia" w:asciiTheme="minorEastAsia" w:hAnsiTheme="minorEastAsia" w:eastAsiaTheme="minorEastAsia"/>
          <w:b/>
          <w:kern w:val="36"/>
          <w:sz w:val="32"/>
          <w:szCs w:val="32"/>
          <w:lang w:val="zh-TW" w:eastAsia="zh-TW"/>
        </w:rPr>
      </w:pPr>
    </w:p>
    <w:p>
      <w:pPr>
        <w:spacing w:line="560" w:lineRule="exact"/>
        <w:jc w:val="center"/>
        <w:outlineLvl w:val="0"/>
        <w:rPr>
          <w:rFonts w:cs="Times New Roman" w:asciiTheme="minorEastAsia" w:hAnsiTheme="minorEastAsia" w:eastAsiaTheme="minorEastAsia"/>
          <w:b/>
          <w:kern w:val="36"/>
          <w:sz w:val="44"/>
          <w:szCs w:val="44"/>
          <w:lang w:val="zh-TW" w:eastAsia="zh-TW"/>
        </w:rPr>
      </w:pPr>
      <w:r>
        <w:rPr>
          <w:rFonts w:hint="eastAsia" w:asciiTheme="minorEastAsia" w:hAnsiTheme="minorEastAsia" w:eastAsiaTheme="minorEastAsia"/>
          <w:b/>
          <w:kern w:val="36"/>
          <w:sz w:val="44"/>
          <w:szCs w:val="44"/>
          <w:lang w:val="zh-TW" w:eastAsia="zh-TW"/>
        </w:rPr>
        <w:t>长治市教育局</w:t>
      </w:r>
    </w:p>
    <w:p>
      <w:pPr>
        <w:spacing w:line="560" w:lineRule="exact"/>
        <w:jc w:val="center"/>
        <w:outlineLvl w:val="0"/>
        <w:rPr>
          <w:rFonts w:cs="Times New Roman" w:asciiTheme="minorEastAsia" w:hAnsiTheme="minorEastAsia" w:eastAsiaTheme="minorEastAsia"/>
          <w:b/>
          <w:kern w:val="36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kern w:val="36"/>
          <w:sz w:val="44"/>
          <w:szCs w:val="44"/>
        </w:rPr>
        <w:t>202</w:t>
      </w:r>
      <w:r>
        <w:rPr>
          <w:rFonts w:hint="default" w:asciiTheme="minorEastAsia" w:hAnsiTheme="minorEastAsia" w:eastAsiaTheme="minorEastAsia"/>
          <w:b/>
          <w:kern w:val="36"/>
          <w:sz w:val="44"/>
          <w:szCs w:val="44"/>
          <w:lang w:val="en"/>
        </w:rPr>
        <w:t>1</w:t>
      </w:r>
      <w:r>
        <w:rPr>
          <w:rFonts w:hint="eastAsia" w:asciiTheme="minorEastAsia" w:hAnsiTheme="minorEastAsia" w:eastAsiaTheme="minorEastAsia"/>
          <w:b/>
          <w:kern w:val="36"/>
          <w:sz w:val="44"/>
          <w:szCs w:val="44"/>
          <w:lang w:val="zh-TW" w:eastAsia="zh-TW"/>
        </w:rPr>
        <w:t>年政府信息公开</w:t>
      </w:r>
      <w:r>
        <w:rPr>
          <w:rFonts w:hint="eastAsia" w:asciiTheme="minorEastAsia" w:hAnsiTheme="minorEastAsia" w:eastAsiaTheme="minorEastAsia"/>
          <w:b/>
          <w:kern w:val="36"/>
          <w:sz w:val="44"/>
          <w:szCs w:val="44"/>
          <w:lang w:val="zh-TW" w:eastAsia="zh-CN"/>
        </w:rPr>
        <w:t>工作</w:t>
      </w:r>
      <w:r>
        <w:rPr>
          <w:rFonts w:hint="eastAsia" w:asciiTheme="minorEastAsia" w:hAnsiTheme="minorEastAsia" w:eastAsiaTheme="minorEastAsia"/>
          <w:b/>
          <w:kern w:val="36"/>
          <w:sz w:val="44"/>
          <w:szCs w:val="44"/>
          <w:lang w:val="zh-TW" w:eastAsia="zh-TW"/>
        </w:rPr>
        <w:t>年度报告</w:t>
      </w:r>
    </w:p>
    <w:p>
      <w:pPr>
        <w:spacing w:line="560" w:lineRule="exact"/>
        <w:jc w:val="left"/>
        <w:rPr>
          <w:rFonts w:ascii="Times New Roman" w:hAnsi="Times New Roman" w:eastAsia="Times New Roman" w:cs="Times New Roman"/>
          <w:kern w:val="0"/>
          <w:sz w:val="27"/>
          <w:szCs w:val="27"/>
          <w:lang w:val="zh-TW" w:eastAsia="zh-TW"/>
        </w:rPr>
      </w:pPr>
      <w:r>
        <w:rPr>
          <w:rFonts w:ascii="微软雅黑" w:hAnsi="微软雅黑" w:eastAsia="微软雅黑" w:cs="微软雅黑"/>
          <w:kern w:val="0"/>
          <w:sz w:val="27"/>
          <w:szCs w:val="27"/>
          <w:lang w:val="zh-TW" w:eastAsia="zh-TW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本年度报告是根据《中华人民共和国政府信息公开条例》和《国务院办公厅政府信息与政务公开办公室关于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印发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&lt;中华人民共和国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政府信息公开工作年度报告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格式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&gt;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的通知》（国办公开办函〔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2021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〕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号）的要求，由长治市教育局编制。全文包括本机关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/>
        </w:rPr>
        <w:t>1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年度政府信息公开工作总体情况、主动公开政府信息情况、收到和处理政府信息公开申请情况、政府信息公开工作行政复议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及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行政诉讼情况、存在的主要问题及改进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措施、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其他需要报告的事项共六个部分组成。本报告中所列数据的统计期限自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/>
        </w:rPr>
        <w:t>1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年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月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日起至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/>
        </w:rPr>
        <w:t>1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年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12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月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31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zh-TW" w:eastAsia="zh-TW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zh-TW" w:eastAsia="zh-TW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/>
        </w:rPr>
        <w:t>1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年，我局进一步加大主动公开信息力度，拓展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信息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公开途径，丰富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信息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公开内容，确保信息公开规范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全面、及时、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准确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。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/>
        </w:rPr>
        <w:t>1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年，全局在市政府信息公开网站（长治市教育局）公开目录中制作并发布信息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none" w:color="auto"/>
          <w:lang w:val="en" w:eastAsia="zh-CN"/>
        </w:rPr>
        <w:t>183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条。其中，工作动态类信息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none" w:color="auto"/>
          <w:lang w:val="en-US" w:eastAsia="zh-CN"/>
        </w:rPr>
        <w:t>52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条 占比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none" w:color="auto"/>
          <w:lang w:val="en-US" w:eastAsia="zh-CN"/>
        </w:rPr>
        <w:t>28.4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%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，政策解读类信息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none" w:color="auto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条占比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4.9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%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，行政权力、行政执法类信息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none" w:color="auto"/>
          <w:lang w:val="en-US" w:eastAsia="zh-CN"/>
        </w:rPr>
        <w:t>16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条占比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none" w:color="auto"/>
          <w:lang w:val="en-US" w:eastAsia="zh-CN"/>
        </w:rPr>
        <w:t>8.7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%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，制度建设类信息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none" w:color="auto"/>
          <w:lang w:val="en-US" w:eastAsia="zh-CN"/>
        </w:rPr>
        <w:t>27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条占比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none" w:color="auto"/>
          <w:lang w:val="en-US" w:eastAsia="zh-CN"/>
        </w:rPr>
        <w:t>14.8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%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政策文件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none" w:color="auto"/>
          <w:lang w:val="en-US" w:eastAsia="zh-CN"/>
        </w:rPr>
        <w:t>16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条占比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none" w:color="auto"/>
          <w:lang w:val="en-US" w:eastAsia="zh-CN"/>
        </w:rPr>
        <w:t>8.7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%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，议案建议类信息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none" w:color="auto"/>
          <w:lang w:val="en-US" w:eastAsia="zh-CN"/>
        </w:rPr>
        <w:t>50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条占比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none" w:color="auto"/>
          <w:lang w:val="en-US" w:eastAsia="zh-CN"/>
        </w:rPr>
        <w:t>27.3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%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，其他信息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条占比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none" w:color="auto"/>
          <w:lang w:val="en-US" w:eastAsia="zh-CN"/>
        </w:rPr>
        <w:t>7.2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%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zh-TW"/>
        </w:rPr>
        <w:t>（</w:t>
      </w: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zh-TW" w:eastAsia="zh-TW"/>
        </w:rPr>
        <w:t>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202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 w:eastAsia="zh-TW"/>
        </w:rPr>
        <w:t>1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 xml:space="preserve">年，我局共受理依申请公开信息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件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。其中：“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 w:eastAsia="zh-CN"/>
        </w:rPr>
        <w:t>长治市城区公立幼儿园招生划片范围”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“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 w:eastAsia="zh-CN"/>
        </w:rPr>
        <w:t>2021潞州区小学招生和小升初的相关信息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”等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条，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 w:eastAsia="zh-CN"/>
        </w:rPr>
        <w:t>虽不属于本机关掌握政府信息，但根据当事人的需要给予提供了信息；“2019年长治市公办小学与民办小学数量、校生数量以及毕业生数量、教职工数量和专任教师数量”，部分信息予以公开；“个人2004年高中毕业会考成绩”“个人2010年在沁县实验中学的中考成绩(2条)”等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 w:eastAsia="zh-CN"/>
        </w:rPr>
        <w:t>条已告知当事人按相关规定查询及查询渠道；“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 w:eastAsia="zh-TW"/>
        </w:rPr>
        <w:t>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016-2019年沁县师范附属小学的接受的由市教育局市财政局下拨的（教育支出）财政资金金额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（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2条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）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 w:eastAsia="zh-CN"/>
        </w:rPr>
        <w:t>”“2020年度关于九中和实验中学教学年度工作报告”等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 w:eastAsia="zh-CN"/>
        </w:rPr>
        <w:t>条因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无现成信息，需要另行制作，所以无法提供，已向给当事人予以说明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zh-TW" w:eastAsia="zh-TW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zh-TW" w:eastAsia="zh-TW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2021年，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我局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建立健全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政府信息管理工作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机制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进一步加强信息公开发布管理及监督，提升信息公开质量。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一是健全工作机制。按照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“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谁审查、谁负责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”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原则，严格落实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“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工作人员初审、科室负责人复核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分管领导审核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把关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”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的上网信息发布制度，明确各环节工作职责和责任人员。二是规范工作程序。严格采集、审核、发布程序，做好信息公开前的保密审查工作，做好原创性信息的编制和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审查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，保证所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公开发布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信息内容合法、完整、准确。三是加强信息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监管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。及时准确发布我局重要会议、重要活动、重大决策信息，建立信息发布实时监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管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机制，坚决杜绝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出现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政治错误、内容差错、技术故障。四是加强交流互动。通过市长信箱、依申请公开、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12345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咨询投诉等政民互动栏目，定期对网民意见建议进行分析汇总，积极回应社会关切。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zh-TW" w:eastAsia="zh-TW"/>
        </w:rPr>
        <w:t>（四）平台建设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市教育局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在长治市政府门户网站信息公开专页中设置政府信息公开指南、政府信息公开制度、法定主动公开内容、法定主动公开年度报告、依申请公开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个一级栏目；在法定主动公开内容栏目下设置组织机构、工作动态、依法行政等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个二级栏目；在二级栏目组织机构下设置主要职责、领导信息、内设机构、下属单位，依法行政栏目下设置政策文件、决策信息、制度建设、行政执法三项制度、行政处罚、双随机一公开、文件解读等共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个三级栏目。做到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信息发布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CN"/>
        </w:rPr>
        <w:t>公开化、规范化，满足公众的知情权，接受群众监督，推动建设人民满意的教育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楷体" w:hAnsi="华文楷体" w:eastAsia="华文楷体" w:cs="华文楷体"/>
          <w:kern w:val="0"/>
          <w:sz w:val="32"/>
          <w:szCs w:val="32"/>
          <w:lang w:val="zh-TW" w:eastAsia="zh-TW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zh-TW" w:eastAsia="zh-TW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本报告的电子版可在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TW"/>
        </w:rPr>
        <w:t>“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中国长治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TW"/>
        </w:rPr>
        <w:t>”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政府门户网站（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TW"/>
        </w:rPr>
        <w:t>www.changzhi.gov.cn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）和长治市教育局官网（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TW"/>
        </w:rPr>
        <w:t>www.jyj.changzhi.gov.cn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）下载。如对本报告有任何疑问，请与长治市教育局办公室联系。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联系地址：长治市紫金西街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9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联系电话：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0355—2058503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TW" w:eastAsia="zh-TW"/>
        </w:rPr>
        <w:t>邮编：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046000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11.81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Arial Unicode MS" w:cs="Arial Unicode MS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kern w:val="0"/>
          <w:sz w:val="32"/>
          <w:szCs w:val="32"/>
          <w:lang w:val="zh-TW" w:eastAsia="zh-TW"/>
        </w:rPr>
        <w:t>五、存在的主要问题</w:t>
      </w:r>
      <w:r>
        <w:rPr>
          <w:rFonts w:hint="eastAsia" w:ascii="黑体" w:hAnsi="黑体" w:eastAsia="黑体" w:cs="黑体"/>
          <w:kern w:val="0"/>
          <w:sz w:val="32"/>
          <w:szCs w:val="32"/>
          <w:lang w:val="zh-TW" w:eastAsia="zh-CN"/>
        </w:rPr>
        <w:t>及</w:t>
      </w:r>
      <w:r>
        <w:rPr>
          <w:rFonts w:ascii="黑体" w:hAnsi="黑体" w:eastAsia="黑体" w:cs="黑体"/>
          <w:kern w:val="0"/>
          <w:sz w:val="32"/>
          <w:szCs w:val="32"/>
          <w:lang w:val="zh-TW" w:eastAsia="zh-TW"/>
        </w:rPr>
        <w:t>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kern w:val="0"/>
          <w:sz w:val="32"/>
          <w:szCs w:val="32"/>
          <w:lang w:val="zh-TW" w:eastAsia="zh-TW"/>
        </w:rPr>
        <w:t>年，我局政府信息公开工作虽然取得了一定的成效，但还存在一些不足：一是对政策研究不透彻，对部分信息是否可以公开、信息公开范围、公开程度把握不准；二是公开的</w:t>
      </w:r>
      <w:r>
        <w:rPr>
          <w:rFonts w:hint="eastAsia" w:ascii="仿宋" w:hAnsi="仿宋" w:eastAsia="仿宋" w:cs="仿宋"/>
          <w:kern w:val="0"/>
          <w:sz w:val="32"/>
          <w:szCs w:val="32"/>
          <w:lang w:val="zh-TW" w:eastAsia="zh-CN"/>
        </w:rPr>
        <w:t>时</w:t>
      </w:r>
      <w:r>
        <w:rPr>
          <w:rFonts w:ascii="仿宋" w:hAnsi="仿宋" w:eastAsia="仿宋" w:cs="仿宋"/>
          <w:kern w:val="0"/>
          <w:sz w:val="32"/>
          <w:szCs w:val="32"/>
          <w:lang w:val="zh-TW" w:eastAsia="zh-TW"/>
        </w:rPr>
        <w:t>效性有待进一步增强；三是公开信息的质量和水平仍需进一步提高。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kern w:val="0"/>
          <w:sz w:val="32"/>
          <w:szCs w:val="32"/>
          <w:lang w:val="zh-TW" w:eastAsia="zh-TW"/>
        </w:rPr>
        <w:t>对存在的不足，我局采取了以下改进措施：一是进一步加强专题学习培训。组织机关全体工作人员参加信息公开专题学习培训，认真学习《中华人民共和国政府信息公开条例》《山西省政府信息公开规定》等内容，增强对政务公开重要性的认识，提高业务能力，提升服务意识和能力，确保政务公开的及时性和规范性。二是继续加强</w:t>
      </w:r>
      <w:r>
        <w:rPr>
          <w:rFonts w:hint="eastAsia" w:ascii="仿宋" w:hAnsi="仿宋" w:eastAsia="仿宋" w:cs="仿宋"/>
          <w:kern w:val="0"/>
          <w:sz w:val="32"/>
          <w:szCs w:val="32"/>
          <w:lang w:val="zh-TW" w:eastAsia="zh-CN"/>
        </w:rPr>
        <w:t>信息</w:t>
      </w:r>
      <w:r>
        <w:rPr>
          <w:rFonts w:ascii="仿宋" w:hAnsi="仿宋" w:eastAsia="仿宋" w:cs="仿宋"/>
          <w:kern w:val="0"/>
          <w:sz w:val="32"/>
          <w:szCs w:val="32"/>
          <w:lang w:val="zh-TW" w:eastAsia="zh-TW"/>
        </w:rPr>
        <w:t>公开平台建设。优化长治市教育局网站、长治教育信息化公共服务平台和长治市教育局微信公众等平台建设，丰富信息发布内容，提高公开信息发布质量，及时回应社会关切，</w:t>
      </w:r>
      <w:r>
        <w:rPr>
          <w:rFonts w:hint="eastAsia" w:ascii="仿宋" w:hAnsi="仿宋" w:eastAsia="仿宋" w:cs="仿宋"/>
          <w:kern w:val="0"/>
          <w:sz w:val="32"/>
          <w:szCs w:val="32"/>
          <w:lang w:val="zh-TW" w:eastAsia="zh-CN"/>
        </w:rPr>
        <w:t>提升</w:t>
      </w:r>
      <w:r>
        <w:rPr>
          <w:rFonts w:ascii="仿宋" w:hAnsi="仿宋" w:eastAsia="仿宋" w:cs="仿宋"/>
          <w:kern w:val="0"/>
          <w:sz w:val="32"/>
          <w:szCs w:val="32"/>
          <w:lang w:val="zh-TW" w:eastAsia="zh-TW"/>
        </w:rPr>
        <w:t>信息公开工作</w:t>
      </w:r>
      <w:r>
        <w:rPr>
          <w:rFonts w:hint="eastAsia" w:ascii="仿宋" w:hAnsi="仿宋" w:eastAsia="仿宋" w:cs="仿宋"/>
          <w:kern w:val="0"/>
          <w:sz w:val="32"/>
          <w:szCs w:val="32"/>
          <w:lang w:val="zh-TW" w:eastAsia="zh-CN"/>
        </w:rPr>
        <w:t>质量</w:t>
      </w:r>
      <w:bookmarkStart w:id="0" w:name="_GoBack"/>
      <w:bookmarkEnd w:id="0"/>
      <w:r>
        <w:rPr>
          <w:rFonts w:ascii="仿宋" w:hAnsi="仿宋" w:eastAsia="仿宋" w:cs="仿宋"/>
          <w:kern w:val="0"/>
          <w:sz w:val="32"/>
          <w:szCs w:val="32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kern w:val="0"/>
          <w:sz w:val="32"/>
          <w:szCs w:val="32"/>
          <w:lang w:val="zh-TW" w:eastAsia="zh-TW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Times New Roman" w:cs="Times New Roman"/>
          <w:kern w:val="0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kern w:val="0"/>
          <w:sz w:val="32"/>
          <w:szCs w:val="32"/>
          <w:lang w:val="zh-TW" w:eastAsia="zh-TW"/>
        </w:rPr>
        <w:t>暂无其他需要报告的事项。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left"/>
        <w:textAlignment w:val="auto"/>
        <w:rPr>
          <w:rFonts w:ascii="仿宋" w:hAnsi="仿宋" w:eastAsia="仿宋" w:cs="仿宋"/>
          <w:kern w:val="0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left"/>
        <w:textAlignment w:val="auto"/>
        <w:rPr>
          <w:rFonts w:ascii="仿宋" w:hAnsi="仿宋" w:eastAsia="仿宋" w:cs="仿宋"/>
          <w:kern w:val="0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left"/>
        <w:textAlignment w:val="auto"/>
        <w:rPr>
          <w:rFonts w:ascii="仿宋" w:hAnsi="仿宋" w:eastAsia="仿宋" w:cs="仿宋"/>
          <w:kern w:val="0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kern w:val="0"/>
          <w:sz w:val="32"/>
          <w:szCs w:val="32"/>
          <w:lang w:val="zh-TW" w:eastAsia="zh-TW"/>
        </w:rPr>
        <w:t>长治市教育局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/>
        <w:jc w:val="left"/>
        <w:textAlignment w:val="auto"/>
      </w:pPr>
      <w:r>
        <w:rPr>
          <w:rFonts w:ascii="仿宋" w:hAnsi="仿宋" w:eastAsia="仿宋" w:cs="仿宋"/>
          <w:kern w:val="0"/>
          <w:sz w:val="32"/>
          <w:szCs w:val="32"/>
        </w:rPr>
        <w:t>202</w:t>
      </w:r>
      <w:r>
        <w:rPr>
          <w:rFonts w:hint="default" w:ascii="仿宋" w:hAnsi="仿宋" w:eastAsia="仿宋" w:cs="仿宋"/>
          <w:kern w:val="0"/>
          <w:sz w:val="32"/>
          <w:szCs w:val="32"/>
          <w:lang w:val="en"/>
        </w:rPr>
        <w:t>2</w:t>
      </w:r>
      <w:r>
        <w:rPr>
          <w:rFonts w:ascii="仿宋" w:hAnsi="仿宋" w:eastAsia="仿宋" w:cs="仿宋"/>
          <w:kern w:val="0"/>
          <w:sz w:val="32"/>
          <w:szCs w:val="32"/>
          <w:lang w:val="zh-TW" w:eastAsia="zh-TW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ascii="仿宋" w:hAnsi="仿宋" w:eastAsia="仿宋" w:cs="仿宋"/>
          <w:kern w:val="0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24</w:t>
      </w:r>
      <w:r>
        <w:rPr>
          <w:rFonts w:ascii="仿宋" w:hAnsi="仿宋" w:eastAsia="仿宋" w:cs="仿宋"/>
          <w:kern w:val="0"/>
          <w:sz w:val="32"/>
          <w:szCs w:val="32"/>
          <w:lang w:val="zh-TW" w:eastAsia="zh-TW"/>
        </w:rPr>
        <w:t>日</w:t>
      </w:r>
    </w:p>
    <w:sectPr>
      <w:footerReference r:id="rId3" w:type="default"/>
      <w:pgSz w:w="11900" w:h="16840"/>
      <w:pgMar w:top="1701" w:right="1418" w:bottom="1701" w:left="1701" w:header="851" w:footer="992" w:gutter="0"/>
      <w:cols w:space="0" w:num="1"/>
      <w:titlePg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5</w:t>
    </w:r>
    <w:r>
      <w:rPr>
        <w:rFonts w:ascii="Times New Roman" w:hAnsi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true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rsids>
    <w:rsidRoot w:val="00024C14"/>
    <w:rsid w:val="00024C14"/>
    <w:rsid w:val="000D1DC6"/>
    <w:rsid w:val="00387A1D"/>
    <w:rsid w:val="004469E8"/>
    <w:rsid w:val="00555A82"/>
    <w:rsid w:val="006C73CA"/>
    <w:rsid w:val="008632B3"/>
    <w:rsid w:val="00AE782C"/>
    <w:rsid w:val="00AF5CE4"/>
    <w:rsid w:val="00BF5654"/>
    <w:rsid w:val="00CC6A50"/>
    <w:rsid w:val="00CF20D1"/>
    <w:rsid w:val="00D75C7D"/>
    <w:rsid w:val="00E96E30"/>
    <w:rsid w:val="00F122D9"/>
    <w:rsid w:val="13DA6A7C"/>
    <w:rsid w:val="1BFFC562"/>
    <w:rsid w:val="2FBD38A7"/>
    <w:rsid w:val="30BE41D8"/>
    <w:rsid w:val="39BF278F"/>
    <w:rsid w:val="3EFCE8DB"/>
    <w:rsid w:val="4BAF3934"/>
    <w:rsid w:val="51B684F5"/>
    <w:rsid w:val="5FDD75CB"/>
    <w:rsid w:val="63B9555C"/>
    <w:rsid w:val="69BDEEF0"/>
    <w:rsid w:val="69E68C25"/>
    <w:rsid w:val="76610D49"/>
    <w:rsid w:val="772EFF95"/>
    <w:rsid w:val="77DF4477"/>
    <w:rsid w:val="7B3B6283"/>
    <w:rsid w:val="7BE5B5C9"/>
    <w:rsid w:val="7BFA4285"/>
    <w:rsid w:val="7CBC3D09"/>
    <w:rsid w:val="7EEA478E"/>
    <w:rsid w:val="7F9F35D3"/>
    <w:rsid w:val="7FD37A25"/>
    <w:rsid w:val="7FEA4D78"/>
    <w:rsid w:val="7FFE2F3E"/>
    <w:rsid w:val="9D4B5CFF"/>
    <w:rsid w:val="AF6B613E"/>
    <w:rsid w:val="BA7B23C6"/>
    <w:rsid w:val="BEFE4FF5"/>
    <w:rsid w:val="BF709843"/>
    <w:rsid w:val="BFBE7F88"/>
    <w:rsid w:val="BFE58390"/>
    <w:rsid w:val="CFB6D7F1"/>
    <w:rsid w:val="DDA18367"/>
    <w:rsid w:val="EC8BE442"/>
    <w:rsid w:val="EFAB9539"/>
    <w:rsid w:val="EFDDA74A"/>
    <w:rsid w:val="F6851313"/>
    <w:rsid w:val="F7AFD97F"/>
    <w:rsid w:val="F9DBAC4E"/>
    <w:rsid w:val="FBFA4025"/>
    <w:rsid w:val="FCB5B352"/>
    <w:rsid w:val="FDFC17F9"/>
    <w:rsid w:val="FE2C90A7"/>
    <w:rsid w:val="FE734873"/>
    <w:rsid w:val="FFF6AE6B"/>
    <w:rsid w:val="FFF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3"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441</Words>
  <Characters>2520</Characters>
  <Lines>21</Lines>
  <Paragraphs>5</Paragraphs>
  <TotalTime>1</TotalTime>
  <ScaleCrop>false</ScaleCrop>
  <LinksUpToDate>false</LinksUpToDate>
  <CharactersWithSpaces>2956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2021-02-02T02:24:00Z</dcterms:created>
  <dc:creator>kylin</dc:creator>
  <cp:lastModifiedBy>kylin</cp:lastModifiedBy>
  <cp:lastPrinted>2021-02-02T03:06:00Z</cp:lastPrinted>
  <dcterms:modified xsi:type="dcterms:W3CDTF">2022-01-24T17:16:43Z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