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44"/>
          <w:szCs w:val="44"/>
          <w:lang w:val="en-US" w:eastAsia="zh-CN"/>
        </w:rPr>
      </w:pPr>
    </w:p>
    <w:p>
      <w:pPr>
        <w:jc w:val="center"/>
        <w:rPr>
          <w:rFonts w:hint="eastAsia" w:ascii="华文中宋" w:hAnsi="华文中宋" w:eastAsia="华文中宋"/>
          <w:b/>
          <w:bCs/>
          <w:sz w:val="44"/>
          <w:szCs w:val="44"/>
          <w:lang w:val="en-US" w:eastAsia="zh-CN"/>
        </w:rPr>
      </w:pPr>
      <w:r>
        <w:rPr>
          <w:rFonts w:hint="eastAsia" w:ascii="华文中宋" w:hAnsi="华文中宋" w:eastAsia="华文中宋"/>
          <w:b/>
          <w:bCs/>
          <w:sz w:val="44"/>
          <w:szCs w:val="44"/>
          <w:lang w:val="en-US" w:eastAsia="zh-CN"/>
        </w:rPr>
        <w:t>太行干部学院</w:t>
      </w:r>
    </w:p>
    <w:p>
      <w:pPr>
        <w:jc w:val="center"/>
        <w:rPr>
          <w:rFonts w:hint="eastAsia" w:ascii="华文中宋" w:hAnsi="华文中宋" w:eastAsia="华文中宋"/>
          <w:b/>
          <w:bCs/>
          <w:sz w:val="44"/>
          <w:szCs w:val="44"/>
          <w:lang w:eastAsia="zh-CN"/>
        </w:rPr>
      </w:pPr>
      <w:r>
        <w:rPr>
          <w:rFonts w:hint="eastAsia" w:ascii="华文中宋" w:hAnsi="华文中宋" w:eastAsia="华文中宋"/>
          <w:b/>
          <w:bCs/>
          <w:sz w:val="44"/>
          <w:szCs w:val="44"/>
        </w:rPr>
        <w:t>20</w:t>
      </w:r>
      <w:r>
        <w:rPr>
          <w:rFonts w:hint="eastAsia" w:ascii="华文中宋" w:hAnsi="华文中宋" w:eastAsia="华文中宋"/>
          <w:b/>
          <w:bCs/>
          <w:sz w:val="44"/>
          <w:szCs w:val="44"/>
          <w:lang w:val="en-US" w:eastAsia="zh-CN"/>
        </w:rPr>
        <w:t>20</w:t>
      </w:r>
      <w:r>
        <w:rPr>
          <w:rFonts w:hint="eastAsia" w:ascii="华文中宋" w:hAnsi="华文中宋" w:eastAsia="华文中宋"/>
          <w:b/>
          <w:bCs/>
          <w:sz w:val="44"/>
          <w:szCs w:val="44"/>
        </w:rPr>
        <w:t>年度部门预算</w:t>
      </w:r>
      <w:r>
        <w:rPr>
          <w:rFonts w:hint="eastAsia" w:ascii="华文中宋" w:hAnsi="华文中宋" w:eastAsia="华文中宋"/>
          <w:b/>
          <w:bCs/>
          <w:sz w:val="44"/>
          <w:szCs w:val="44"/>
          <w:lang w:eastAsia="zh-CN"/>
        </w:rPr>
        <w:t>相关说明</w:t>
      </w:r>
    </w:p>
    <w:p>
      <w:pPr>
        <w:jc w:val="center"/>
        <w:rPr>
          <w:rFonts w:ascii="仿宋" w:hAnsi="仿宋" w:eastAsia="仿宋"/>
          <w:sz w:val="32"/>
          <w:szCs w:val="32"/>
        </w:rPr>
      </w:pPr>
    </w:p>
    <w:p>
      <w:pPr>
        <w:keepNext w:val="0"/>
        <w:keepLines w:val="0"/>
        <w:pageBreakBefore w:val="0"/>
        <w:widowControl w:val="0"/>
        <w:kinsoku/>
        <w:wordWrap/>
        <w:overflowPunct/>
        <w:topLinePunct w:val="0"/>
        <w:bidi w:val="0"/>
        <w:snapToGrid/>
        <w:spacing w:line="240" w:lineRule="auto"/>
        <w:textAlignment w:val="auto"/>
        <w:rPr>
          <w:rFonts w:ascii="黑体" w:hAnsi="黑体" w:eastAsia="黑体"/>
          <w:sz w:val="32"/>
          <w:szCs w:val="32"/>
        </w:rPr>
      </w:pPr>
      <w:r>
        <w:rPr>
          <w:rFonts w:hint="eastAsia" w:ascii="黑体" w:hAnsi="黑体" w:eastAsia="黑体"/>
          <w:sz w:val="32"/>
          <w:szCs w:val="32"/>
        </w:rPr>
        <w:t>第一部分  概况</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 w:hAnsi="楷体" w:eastAsia="楷体"/>
          <w:sz w:val="32"/>
          <w:szCs w:val="32"/>
        </w:rPr>
      </w:pPr>
      <w:r>
        <w:rPr>
          <w:rFonts w:hint="eastAsia" w:ascii="楷体" w:hAnsi="楷体" w:eastAsia="楷体"/>
          <w:sz w:val="32"/>
          <w:szCs w:val="32"/>
        </w:rPr>
        <w:t>一、本部门职责</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 w:hAnsi="楷体" w:eastAsia="楷体"/>
          <w:sz w:val="32"/>
          <w:szCs w:val="32"/>
        </w:rPr>
      </w:pPr>
      <w:r>
        <w:rPr>
          <w:rFonts w:hint="eastAsia" w:ascii="楷体" w:hAnsi="楷体" w:eastAsia="楷体" w:cs="楷体"/>
          <w:color w:val="000000"/>
          <w:sz w:val="32"/>
          <w:szCs w:val="32"/>
        </w:rPr>
        <w:t>弘扬太行精神和八路军文化，传承革命精神，坚定理想信念，锤炼党性修养，发挥太行干部学院山西省党性教育基地的作用，与时俱进弘扬“太行精神”；立足山西、面向全国，对党员干部进行理想信念教育；深入研究挖掘太行精神、八路军文化等；承办市委、市政府交办的其他任务。</w:t>
      </w:r>
    </w:p>
    <w:p>
      <w:pPr>
        <w:keepNext w:val="0"/>
        <w:keepLines w:val="0"/>
        <w:pageBreakBefore w:val="0"/>
        <w:widowControl w:val="0"/>
        <w:numPr>
          <w:ilvl w:val="0"/>
          <w:numId w:val="1"/>
        </w:numPr>
        <w:kinsoku/>
        <w:wordWrap/>
        <w:overflowPunct/>
        <w:topLinePunct w:val="0"/>
        <w:bidi w:val="0"/>
        <w:snapToGrid/>
        <w:spacing w:line="240" w:lineRule="auto"/>
        <w:ind w:firstLine="640" w:firstLineChars="200"/>
        <w:textAlignment w:val="auto"/>
        <w:rPr>
          <w:rFonts w:hint="eastAsia" w:ascii="楷体" w:hAnsi="楷体" w:eastAsia="楷体"/>
          <w:sz w:val="32"/>
          <w:szCs w:val="32"/>
        </w:rPr>
      </w:pPr>
      <w:r>
        <w:rPr>
          <w:rFonts w:hint="eastAsia" w:ascii="楷体" w:hAnsi="楷体" w:eastAsia="楷体"/>
          <w:sz w:val="32"/>
          <w:szCs w:val="32"/>
        </w:rPr>
        <w:t>机构设置情况</w:t>
      </w:r>
    </w:p>
    <w:p>
      <w:pPr>
        <w:keepNext w:val="0"/>
        <w:keepLines w:val="0"/>
        <w:pageBreakBefore w:val="0"/>
        <w:widowControl w:val="0"/>
        <w:kinsoku/>
        <w:wordWrap/>
        <w:overflowPunct/>
        <w:topLinePunct w:val="0"/>
        <w:bidi w:val="0"/>
        <w:snapToGrid/>
        <w:spacing w:line="240" w:lineRule="auto"/>
        <w:ind w:firstLine="560"/>
        <w:textAlignment w:val="auto"/>
        <w:rPr>
          <w:rFonts w:hint="eastAsia" w:ascii="楷体" w:hAnsi="楷体" w:eastAsia="楷体"/>
          <w:sz w:val="32"/>
          <w:szCs w:val="32"/>
          <w:lang w:eastAsia="zh-CN"/>
        </w:rPr>
      </w:pPr>
      <w:r>
        <w:rPr>
          <w:rFonts w:hint="eastAsia" w:ascii="楷体" w:hAnsi="楷体" w:eastAsia="楷体" w:cs="楷体"/>
          <w:sz w:val="32"/>
          <w:szCs w:val="32"/>
        </w:rPr>
        <w:t>太行干部学院为全额拨款事业单位，正处级建制，核定编制47名，现有在编人员</w:t>
      </w:r>
      <w:r>
        <w:rPr>
          <w:rFonts w:hint="eastAsia" w:ascii="楷体" w:hAnsi="楷体" w:eastAsia="楷体" w:cs="楷体"/>
          <w:sz w:val="32"/>
          <w:szCs w:val="32"/>
          <w:lang w:val="en-US" w:eastAsia="zh-CN"/>
        </w:rPr>
        <w:t>30</w:t>
      </w:r>
      <w:r>
        <w:rPr>
          <w:rFonts w:hint="eastAsia" w:ascii="楷体" w:hAnsi="楷体" w:eastAsia="楷体" w:cs="楷体"/>
          <w:sz w:val="32"/>
          <w:szCs w:val="32"/>
        </w:rPr>
        <w:t>名，</w:t>
      </w:r>
      <w:r>
        <w:rPr>
          <w:rFonts w:hint="eastAsia" w:ascii="楷体" w:hAnsi="楷体" w:eastAsia="楷体" w:cs="楷体"/>
          <w:color w:val="000000"/>
          <w:kern w:val="0"/>
          <w:sz w:val="32"/>
          <w:szCs w:val="32"/>
        </w:rPr>
        <w:t>下设</w:t>
      </w:r>
      <w:r>
        <w:rPr>
          <w:rFonts w:hint="eastAsia" w:ascii="楷体" w:hAnsi="楷体" w:eastAsia="楷体" w:cs="楷体"/>
          <w:sz w:val="32"/>
          <w:szCs w:val="32"/>
        </w:rPr>
        <w:t>办公室、教务部、培训部、教研部、总务部</w:t>
      </w:r>
      <w:r>
        <w:rPr>
          <w:rFonts w:hint="eastAsia" w:ascii="楷体" w:hAnsi="楷体" w:eastAsia="楷体" w:cs="楷体"/>
          <w:sz w:val="32"/>
          <w:szCs w:val="32"/>
          <w:lang w:eastAsia="zh-CN"/>
        </w:rPr>
        <w:t>、安全保卫部、人力资源部</w:t>
      </w:r>
      <w:r>
        <w:rPr>
          <w:rFonts w:hint="eastAsia" w:ascii="楷体" w:hAnsi="楷体" w:eastAsia="楷体" w:cs="楷体"/>
          <w:sz w:val="32"/>
          <w:szCs w:val="32"/>
          <w:lang w:val="en-US" w:eastAsia="zh-CN"/>
        </w:rPr>
        <w:t>(党办)</w:t>
      </w:r>
      <w:r>
        <w:rPr>
          <w:rFonts w:hint="eastAsia" w:ascii="楷体" w:hAnsi="楷体" w:eastAsia="楷体" w:cs="楷体"/>
          <w:sz w:val="32"/>
          <w:szCs w:val="32"/>
        </w:rPr>
        <w:t>等</w:t>
      </w:r>
      <w:r>
        <w:rPr>
          <w:rFonts w:hint="eastAsia" w:ascii="楷体" w:hAnsi="楷体" w:eastAsia="楷体" w:cs="楷体"/>
          <w:sz w:val="32"/>
          <w:szCs w:val="32"/>
          <w:lang w:eastAsia="zh-CN"/>
        </w:rPr>
        <w:t>七</w:t>
      </w:r>
      <w:r>
        <w:rPr>
          <w:rFonts w:hint="eastAsia" w:ascii="楷体" w:hAnsi="楷体" w:eastAsia="楷体" w:cs="楷体"/>
          <w:sz w:val="32"/>
          <w:szCs w:val="32"/>
        </w:rPr>
        <w:t>个部门。</w:t>
      </w:r>
    </w:p>
    <w:p>
      <w:pPr>
        <w:keepNext w:val="0"/>
        <w:keepLines w:val="0"/>
        <w:pageBreakBefore w:val="0"/>
        <w:widowControl w:val="0"/>
        <w:kinsoku/>
        <w:wordWrap/>
        <w:overflowPunct/>
        <w:topLinePunct w:val="0"/>
        <w:bidi w:val="0"/>
        <w:snapToGrid/>
        <w:spacing w:line="240" w:lineRule="auto"/>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w:t>
      </w:r>
      <w:r>
        <w:rPr>
          <w:rFonts w:hint="eastAsia" w:ascii="黑体" w:hAnsi="黑体" w:eastAsia="黑体"/>
          <w:sz w:val="32"/>
          <w:szCs w:val="32"/>
          <w:lang w:val="en-US" w:eastAsia="zh-CN"/>
        </w:rPr>
        <w:t>20</w:t>
      </w:r>
      <w:r>
        <w:rPr>
          <w:rFonts w:hint="eastAsia" w:ascii="黑体" w:hAnsi="黑体" w:eastAsia="黑体"/>
          <w:sz w:val="32"/>
          <w:szCs w:val="32"/>
        </w:rPr>
        <w:t>年度部门预算情况说明</w:t>
      </w:r>
    </w:p>
    <w:p>
      <w:pPr>
        <w:keepNext w:val="0"/>
        <w:keepLines w:val="0"/>
        <w:pageBreakBefore w:val="0"/>
        <w:widowControl w:val="0"/>
        <w:kinsoku/>
        <w:wordWrap/>
        <w:overflowPunct/>
        <w:topLinePunct w:val="0"/>
        <w:bidi w:val="0"/>
        <w:snapToGrid/>
        <w:spacing w:line="240" w:lineRule="auto"/>
        <w:ind w:firstLine="636"/>
        <w:textAlignment w:val="auto"/>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w:t>
      </w:r>
      <w:r>
        <w:rPr>
          <w:rFonts w:hint="eastAsia" w:ascii="楷体" w:hAnsi="楷体" w:eastAsia="楷体"/>
          <w:sz w:val="32"/>
          <w:szCs w:val="32"/>
          <w:lang w:val="en-US" w:eastAsia="zh-CN"/>
        </w:rPr>
        <w:t>20</w:t>
      </w:r>
      <w:r>
        <w:rPr>
          <w:rFonts w:hint="eastAsia" w:ascii="楷体" w:hAnsi="楷体" w:eastAsia="楷体"/>
          <w:sz w:val="32"/>
          <w:szCs w:val="32"/>
        </w:rPr>
        <w:t>年度部门预算数据变动情况及原因</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 w:hAnsi="楷体" w:eastAsia="楷体"/>
          <w:sz w:val="32"/>
          <w:szCs w:val="32"/>
          <w:lang w:eastAsia="zh-CN"/>
        </w:rPr>
      </w:pPr>
      <w:r>
        <w:rPr>
          <w:rFonts w:hint="eastAsia" w:ascii="楷体" w:hAnsi="楷体" w:eastAsia="楷体" w:cs="楷体"/>
          <w:color w:val="000000"/>
          <w:kern w:val="0"/>
          <w:sz w:val="32"/>
          <w:szCs w:val="32"/>
        </w:rPr>
        <w:t>20</w:t>
      </w:r>
      <w:r>
        <w:rPr>
          <w:rFonts w:hint="eastAsia" w:ascii="楷体" w:hAnsi="楷体" w:eastAsia="楷体" w:cs="楷体"/>
          <w:color w:val="000000"/>
          <w:kern w:val="0"/>
          <w:sz w:val="32"/>
          <w:szCs w:val="32"/>
          <w:lang w:val="en-US" w:eastAsia="zh-CN"/>
        </w:rPr>
        <w:t>20</w:t>
      </w:r>
      <w:r>
        <w:rPr>
          <w:rFonts w:hint="eastAsia" w:ascii="楷体" w:hAnsi="楷体" w:eastAsia="楷体" w:cs="楷体"/>
          <w:color w:val="000000"/>
          <w:kern w:val="0"/>
          <w:sz w:val="32"/>
          <w:szCs w:val="32"/>
        </w:rPr>
        <w:t>年全年预算数3678.1万元，相比201</w:t>
      </w:r>
      <w:r>
        <w:rPr>
          <w:rFonts w:hint="eastAsia" w:ascii="楷体" w:hAnsi="楷体" w:eastAsia="楷体" w:cs="楷体"/>
          <w:color w:val="000000"/>
          <w:kern w:val="0"/>
          <w:sz w:val="32"/>
          <w:szCs w:val="32"/>
          <w:lang w:val="en-US" w:eastAsia="zh-CN"/>
        </w:rPr>
        <w:t>9</w:t>
      </w:r>
      <w:r>
        <w:rPr>
          <w:rFonts w:hint="eastAsia" w:ascii="楷体" w:hAnsi="楷体" w:eastAsia="楷体" w:cs="楷体"/>
          <w:color w:val="000000"/>
          <w:kern w:val="0"/>
          <w:sz w:val="32"/>
          <w:szCs w:val="32"/>
        </w:rPr>
        <w:t>全年预算数3965.46万元，</w:t>
      </w:r>
      <w:r>
        <w:rPr>
          <w:rFonts w:hint="eastAsia" w:ascii="楷体" w:hAnsi="楷体" w:eastAsia="楷体" w:cs="楷体"/>
          <w:color w:val="000000"/>
          <w:kern w:val="0"/>
          <w:sz w:val="32"/>
          <w:szCs w:val="32"/>
          <w:lang w:eastAsia="zh-CN"/>
        </w:rPr>
        <w:t>减少</w:t>
      </w:r>
      <w:r>
        <w:rPr>
          <w:rFonts w:hint="eastAsia" w:ascii="楷体" w:hAnsi="楷体" w:eastAsia="楷体" w:cs="楷体"/>
          <w:color w:val="000000"/>
          <w:kern w:val="0"/>
          <w:sz w:val="32"/>
          <w:szCs w:val="32"/>
          <w:lang w:val="en-US" w:eastAsia="zh-CN"/>
        </w:rPr>
        <w:t>287.36</w:t>
      </w:r>
      <w:r>
        <w:rPr>
          <w:rFonts w:hint="eastAsia" w:ascii="楷体" w:hAnsi="楷体" w:eastAsia="楷体" w:cs="楷体"/>
          <w:color w:val="000000"/>
          <w:kern w:val="0"/>
          <w:sz w:val="32"/>
          <w:szCs w:val="32"/>
        </w:rPr>
        <w:t>万元，</w:t>
      </w:r>
      <w:r>
        <w:rPr>
          <w:rFonts w:hint="eastAsia" w:ascii="楷体" w:hAnsi="楷体" w:eastAsia="楷体" w:cs="楷体"/>
          <w:color w:val="000000"/>
          <w:kern w:val="0"/>
          <w:sz w:val="32"/>
          <w:szCs w:val="32"/>
          <w:lang w:eastAsia="zh-CN"/>
        </w:rPr>
        <w:t>下降</w:t>
      </w:r>
      <w:r>
        <w:rPr>
          <w:rFonts w:hint="eastAsia" w:ascii="楷体" w:hAnsi="楷体" w:eastAsia="楷体" w:cs="楷体"/>
          <w:color w:val="000000"/>
          <w:kern w:val="0"/>
          <w:sz w:val="32"/>
          <w:szCs w:val="32"/>
          <w:lang w:val="en-US" w:eastAsia="zh-CN"/>
        </w:rPr>
        <w:t>7.25</w:t>
      </w:r>
      <w:r>
        <w:rPr>
          <w:rFonts w:hint="eastAsia" w:ascii="楷体" w:hAnsi="楷体" w:eastAsia="楷体" w:cs="楷体"/>
          <w:color w:val="000000"/>
          <w:kern w:val="0"/>
          <w:sz w:val="32"/>
          <w:szCs w:val="32"/>
        </w:rPr>
        <w:t>%，</w:t>
      </w:r>
      <w:r>
        <w:rPr>
          <w:rFonts w:hint="eastAsia" w:ascii="楷体" w:hAnsi="楷体" w:eastAsia="楷体" w:cs="楷体"/>
          <w:kern w:val="0"/>
          <w:sz w:val="32"/>
          <w:szCs w:val="32"/>
        </w:rPr>
        <w:t>原因</w:t>
      </w:r>
      <w:r>
        <w:rPr>
          <w:rFonts w:hint="eastAsia" w:ascii="楷体" w:hAnsi="楷体" w:eastAsia="楷体" w:cs="楷体"/>
          <w:kern w:val="0"/>
          <w:sz w:val="32"/>
          <w:szCs w:val="32"/>
          <w:lang w:eastAsia="zh-CN"/>
        </w:rPr>
        <w:t>主要</w:t>
      </w:r>
      <w:r>
        <w:rPr>
          <w:rFonts w:hint="eastAsia" w:ascii="楷体" w:hAnsi="楷体" w:eastAsia="楷体" w:cs="楷体"/>
          <w:kern w:val="0"/>
          <w:sz w:val="32"/>
          <w:szCs w:val="32"/>
        </w:rPr>
        <w:t>是</w:t>
      </w:r>
      <w:r>
        <w:rPr>
          <w:rFonts w:hint="eastAsia" w:ascii="楷体" w:hAnsi="楷体" w:eastAsia="楷体" w:cs="楷体"/>
          <w:kern w:val="0"/>
          <w:sz w:val="32"/>
          <w:szCs w:val="32"/>
          <w:lang w:eastAsia="zh-CN"/>
        </w:rPr>
        <w:t>本年教学点改造费用相比去年减少，</w:t>
      </w:r>
      <w:r>
        <w:rPr>
          <w:rFonts w:hint="eastAsia" w:ascii="楷体" w:hAnsi="楷体" w:eastAsia="楷体" w:cs="楷体"/>
          <w:kern w:val="0"/>
          <w:sz w:val="32"/>
          <w:szCs w:val="32"/>
        </w:rPr>
        <w:t>致20</w:t>
      </w:r>
      <w:r>
        <w:rPr>
          <w:rFonts w:hint="eastAsia" w:ascii="楷体" w:hAnsi="楷体" w:eastAsia="楷体" w:cs="楷体"/>
          <w:kern w:val="0"/>
          <w:sz w:val="32"/>
          <w:szCs w:val="32"/>
          <w:lang w:val="en-US" w:eastAsia="zh-CN"/>
        </w:rPr>
        <w:t>20</w:t>
      </w:r>
      <w:r>
        <w:rPr>
          <w:rFonts w:hint="eastAsia" w:ascii="楷体" w:hAnsi="楷体" w:eastAsia="楷体" w:cs="楷体"/>
          <w:kern w:val="0"/>
          <w:sz w:val="32"/>
          <w:szCs w:val="32"/>
        </w:rPr>
        <w:t>年预算比201</w:t>
      </w:r>
      <w:r>
        <w:rPr>
          <w:rFonts w:hint="eastAsia" w:ascii="楷体" w:hAnsi="楷体" w:eastAsia="楷体" w:cs="楷体"/>
          <w:kern w:val="0"/>
          <w:sz w:val="32"/>
          <w:szCs w:val="32"/>
          <w:lang w:val="en-US" w:eastAsia="zh-CN"/>
        </w:rPr>
        <w:t>9</w:t>
      </w:r>
      <w:r>
        <w:rPr>
          <w:rFonts w:hint="eastAsia" w:ascii="楷体" w:hAnsi="楷体" w:eastAsia="楷体" w:cs="楷体"/>
          <w:kern w:val="0"/>
          <w:sz w:val="32"/>
          <w:szCs w:val="32"/>
        </w:rPr>
        <w:t>年预算</w:t>
      </w:r>
      <w:r>
        <w:rPr>
          <w:rFonts w:hint="eastAsia" w:ascii="楷体" w:hAnsi="楷体" w:eastAsia="楷体" w:cs="楷体"/>
          <w:kern w:val="0"/>
          <w:sz w:val="32"/>
          <w:szCs w:val="32"/>
          <w:lang w:eastAsia="zh-CN"/>
        </w:rPr>
        <w:t>减少</w:t>
      </w:r>
      <w:r>
        <w:rPr>
          <w:rFonts w:hint="eastAsia" w:ascii="楷体" w:hAnsi="楷体" w:eastAsia="楷体" w:cs="楷体"/>
          <w:kern w:val="0"/>
          <w:sz w:val="32"/>
          <w:szCs w:val="32"/>
        </w:rPr>
        <w:t>。</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“三公”经费增减变动原因说明</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 w:hAnsi="楷体" w:eastAsia="楷体"/>
          <w:sz w:val="32"/>
          <w:szCs w:val="32"/>
          <w:lang w:eastAsia="zh-CN"/>
        </w:rPr>
      </w:pPr>
      <w:r>
        <w:rPr>
          <w:rFonts w:hint="eastAsia" w:ascii="楷体" w:hAnsi="楷体" w:eastAsia="楷体" w:cs="楷体"/>
          <w:color w:val="000000"/>
          <w:kern w:val="0"/>
          <w:sz w:val="32"/>
          <w:szCs w:val="32"/>
        </w:rPr>
        <w:t>本单位三公经费预算表无相关内容。</w:t>
      </w:r>
    </w:p>
    <w:p>
      <w:pPr>
        <w:keepNext w:val="0"/>
        <w:keepLines w:val="0"/>
        <w:pageBreakBefore w:val="0"/>
        <w:widowControl w:val="0"/>
        <w:numPr>
          <w:ilvl w:val="0"/>
          <w:numId w:val="1"/>
        </w:numPr>
        <w:kinsoku/>
        <w:wordWrap/>
        <w:overflowPunct/>
        <w:topLinePunct w:val="0"/>
        <w:bidi w:val="0"/>
        <w:snapToGrid/>
        <w:spacing w:line="240" w:lineRule="auto"/>
        <w:ind w:left="0" w:leftChars="0" w:firstLine="640" w:firstLineChars="200"/>
        <w:textAlignment w:val="auto"/>
        <w:rPr>
          <w:rFonts w:hint="eastAsia" w:ascii="楷体" w:hAnsi="楷体" w:eastAsia="楷体"/>
          <w:sz w:val="32"/>
          <w:szCs w:val="32"/>
        </w:rPr>
      </w:pPr>
      <w:r>
        <w:rPr>
          <w:rFonts w:hint="eastAsia" w:ascii="楷体" w:hAnsi="楷体" w:eastAsia="楷体"/>
          <w:sz w:val="32"/>
          <w:szCs w:val="32"/>
        </w:rPr>
        <w:t>机关运行经费增减变动原因说明</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color w:val="000000"/>
          <w:kern w:val="0"/>
          <w:sz w:val="32"/>
          <w:szCs w:val="32"/>
        </w:rPr>
        <w:t>本单位机关运行经费预算财政拨款情况表无相关内容。</w:t>
      </w:r>
    </w:p>
    <w:p>
      <w:pPr>
        <w:keepNext w:val="0"/>
        <w:keepLines w:val="0"/>
        <w:pageBreakBefore w:val="0"/>
        <w:widowControl w:val="0"/>
        <w:numPr>
          <w:ilvl w:val="0"/>
          <w:numId w:val="1"/>
        </w:numPr>
        <w:kinsoku/>
        <w:wordWrap/>
        <w:overflowPunct/>
        <w:topLinePunct w:val="0"/>
        <w:bidi w:val="0"/>
        <w:snapToGrid/>
        <w:spacing w:line="240" w:lineRule="auto"/>
        <w:ind w:left="0" w:leftChars="0" w:firstLine="640" w:firstLineChars="200"/>
        <w:textAlignment w:val="auto"/>
        <w:rPr>
          <w:rFonts w:hint="eastAsia" w:ascii="楷体_GB2312" w:hAnsi="楷体_GB2312" w:eastAsia="楷体_GB2312" w:cs="楷体_GB2312"/>
          <w:sz w:val="32"/>
          <w:szCs w:val="32"/>
        </w:rPr>
      </w:pPr>
      <w:r>
        <w:rPr>
          <w:rFonts w:hint="eastAsia" w:ascii="楷体" w:hAnsi="楷体" w:eastAsia="楷体"/>
          <w:sz w:val="32"/>
          <w:szCs w:val="32"/>
        </w:rPr>
        <w:t>其他说明</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keepNext w:val="0"/>
        <w:keepLines w:val="0"/>
        <w:pageBreakBefore w:val="0"/>
        <w:widowControl w:val="0"/>
        <w:kinsoku/>
        <w:wordWrap/>
        <w:overflowPunct/>
        <w:topLinePunct w:val="0"/>
        <w:bidi w:val="0"/>
        <w:snapToGrid/>
        <w:spacing w:line="240" w:lineRule="auto"/>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年政府采购预算总额</w:t>
      </w:r>
      <w:r>
        <w:rPr>
          <w:rFonts w:hint="eastAsia" w:ascii="楷体_GB2312" w:hAnsi="楷体_GB2312" w:eastAsia="楷体_GB2312" w:cs="楷体_GB2312"/>
          <w:sz w:val="32"/>
          <w:szCs w:val="32"/>
          <w:lang w:val="en-US" w:eastAsia="zh-CN"/>
        </w:rPr>
        <w:t>430.35</w:t>
      </w:r>
      <w:r>
        <w:rPr>
          <w:rFonts w:hint="eastAsia" w:ascii="楷体_GB2312" w:hAnsi="楷体_GB2312" w:eastAsia="楷体_GB2312" w:cs="楷体_GB2312"/>
          <w:sz w:val="32"/>
          <w:szCs w:val="32"/>
        </w:rPr>
        <w:t>万元，其中：政府采购货物预算</w:t>
      </w:r>
      <w:r>
        <w:rPr>
          <w:rFonts w:hint="eastAsia" w:ascii="楷体_GB2312" w:hAnsi="楷体_GB2312" w:eastAsia="楷体_GB2312" w:cs="楷体_GB2312"/>
          <w:sz w:val="32"/>
          <w:szCs w:val="32"/>
          <w:lang w:val="en-US" w:eastAsia="zh-CN"/>
        </w:rPr>
        <w:t>49.47</w:t>
      </w:r>
      <w:r>
        <w:rPr>
          <w:rFonts w:hint="eastAsia" w:ascii="楷体_GB2312" w:hAnsi="楷体_GB2312" w:eastAsia="楷体_GB2312" w:cs="楷体_GB2312"/>
          <w:sz w:val="32"/>
          <w:szCs w:val="32"/>
        </w:rPr>
        <w:t>万元、政府采购工程预算</w:t>
      </w:r>
      <w:r>
        <w:rPr>
          <w:rFonts w:hint="eastAsia" w:ascii="楷体_GB2312" w:hAnsi="楷体_GB2312" w:eastAsia="楷体_GB2312" w:cs="楷体_GB2312"/>
          <w:sz w:val="32"/>
          <w:szCs w:val="32"/>
          <w:lang w:val="en-US" w:eastAsia="zh-CN"/>
        </w:rPr>
        <w:t>288</w:t>
      </w:r>
      <w:r>
        <w:rPr>
          <w:rFonts w:hint="eastAsia" w:ascii="楷体_GB2312" w:hAnsi="楷体_GB2312" w:eastAsia="楷体_GB2312" w:cs="楷体_GB2312"/>
          <w:sz w:val="32"/>
          <w:szCs w:val="32"/>
        </w:rPr>
        <w:t>万元、政府采购服务预算</w:t>
      </w:r>
      <w:r>
        <w:rPr>
          <w:rFonts w:hint="eastAsia" w:ascii="楷体_GB2312" w:hAnsi="楷体_GB2312" w:eastAsia="楷体_GB2312" w:cs="楷体_GB2312"/>
          <w:sz w:val="32"/>
          <w:szCs w:val="32"/>
          <w:lang w:val="en-US" w:eastAsia="zh-CN"/>
        </w:rPr>
        <w:t>92.88</w:t>
      </w:r>
      <w:r>
        <w:rPr>
          <w:rFonts w:hint="eastAsia" w:ascii="楷体_GB2312" w:hAnsi="楷体_GB2312" w:eastAsia="楷体_GB2312" w:cs="楷体_GB2312"/>
          <w:sz w:val="32"/>
          <w:szCs w:val="32"/>
        </w:rPr>
        <w:t>万元。</w:t>
      </w:r>
      <w:bookmarkStart w:id="0" w:name="_GoBack"/>
      <w:bookmarkEnd w:id="0"/>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（二）政府购买服务指导性目录</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keepNext w:val="0"/>
        <w:keepLines w:val="0"/>
        <w:pageBreakBefore w:val="0"/>
        <w:widowControl w:val="0"/>
        <w:kinsoku/>
        <w:wordWrap/>
        <w:overflowPunct/>
        <w:topLinePunct w:val="0"/>
        <w:bidi w:val="0"/>
        <w:snapToGrid/>
        <w:spacing w:line="240" w:lineRule="auto"/>
        <w:ind w:firstLine="636"/>
        <w:textAlignment w:val="auto"/>
        <w:rPr>
          <w:rFonts w:hint="eastAsia" w:ascii="楷体" w:hAnsi="楷体" w:eastAsia="楷体" w:cs="楷体"/>
          <w:sz w:val="32"/>
          <w:szCs w:val="32"/>
        </w:rPr>
      </w:pPr>
      <w:r>
        <w:rPr>
          <w:rFonts w:hint="eastAsia" w:ascii="楷体_GB2312" w:hAnsi="楷体_GB2312" w:eastAsia="楷体_GB2312" w:cs="楷体_GB2312"/>
          <w:sz w:val="32"/>
          <w:szCs w:val="32"/>
        </w:rPr>
        <w:t>1.车辆情况；</w:t>
      </w:r>
      <w:r>
        <w:rPr>
          <w:rFonts w:hint="eastAsia" w:ascii="楷体" w:hAnsi="楷体" w:eastAsia="楷体" w:cs="楷体"/>
          <w:color w:val="000000"/>
          <w:kern w:val="0"/>
          <w:sz w:val="32"/>
          <w:szCs w:val="32"/>
        </w:rPr>
        <w:t>全部租赁。</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 w:hAnsi="楷体" w:eastAsia="楷体" w:cs="楷体"/>
          <w:sz w:val="32"/>
          <w:szCs w:val="32"/>
        </w:rPr>
      </w:pPr>
      <w:r>
        <w:rPr>
          <w:rFonts w:hint="eastAsia" w:ascii="楷体_GB2312" w:hAnsi="楷体_GB2312" w:eastAsia="楷体_GB2312" w:cs="楷体_GB2312"/>
          <w:sz w:val="32"/>
          <w:szCs w:val="32"/>
        </w:rPr>
        <w:t>2.房屋情况；</w:t>
      </w:r>
      <w:r>
        <w:rPr>
          <w:rFonts w:hint="eastAsia" w:ascii="楷体" w:hAnsi="楷体" w:eastAsia="楷体" w:cs="楷体"/>
          <w:color w:val="000000"/>
          <w:kern w:val="0"/>
          <w:sz w:val="32"/>
          <w:szCs w:val="32"/>
        </w:rPr>
        <w:t>全部租赁。</w:t>
      </w:r>
    </w:p>
    <w:p>
      <w:pPr>
        <w:keepNext w:val="0"/>
        <w:keepLines w:val="0"/>
        <w:pageBreakBefore w:val="0"/>
        <w:widowControl w:val="0"/>
        <w:kinsoku/>
        <w:wordWrap/>
        <w:overflowPunct/>
        <w:topLinePunct w:val="0"/>
        <w:bidi w:val="0"/>
        <w:snapToGrid/>
        <w:spacing w:line="240" w:lineRule="auto"/>
        <w:ind w:firstLine="636"/>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3.其他国有资产占有使用情况</w:t>
      </w:r>
      <w:r>
        <w:rPr>
          <w:rFonts w:hint="eastAsia" w:ascii="楷体_GB2312" w:hAnsi="楷体_GB2312" w:eastAsia="楷体_GB2312" w:cs="楷体_GB2312"/>
          <w:sz w:val="32"/>
          <w:szCs w:val="32"/>
          <w:lang w:eastAsia="zh-CN"/>
        </w:rPr>
        <w:t>：无。</w:t>
      </w:r>
    </w:p>
    <w:p>
      <w:pPr>
        <w:keepNext w:val="0"/>
        <w:keepLines w:val="0"/>
        <w:pageBreakBefore w:val="0"/>
        <w:widowControl w:val="0"/>
        <w:kinsoku/>
        <w:wordWrap/>
        <w:overflowPunct/>
        <w:topLinePunct w:val="0"/>
        <w:bidi w:val="0"/>
        <w:snapToGrid/>
        <w:spacing w:line="240" w:lineRule="auto"/>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keepNext w:val="0"/>
        <w:keepLines w:val="0"/>
        <w:pageBreakBefore w:val="0"/>
        <w:widowControl w:val="0"/>
        <w:kinsoku/>
        <w:wordWrap/>
        <w:overflowPunct/>
        <w:topLinePunct w:val="0"/>
        <w:bidi w:val="0"/>
        <w:snapToGrid/>
        <w:spacing w:line="240" w:lineRule="auto"/>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年实行绩效目标管理的项目</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个，涉及一般公共预算当年拨款</w:t>
      </w:r>
      <w:r>
        <w:rPr>
          <w:rFonts w:hint="eastAsia" w:ascii="楷体_GB2312" w:hAnsi="楷体_GB2312" w:eastAsia="楷体_GB2312" w:cs="楷体_GB2312"/>
          <w:sz w:val="32"/>
          <w:szCs w:val="32"/>
          <w:lang w:val="en-US" w:eastAsia="zh-CN"/>
        </w:rPr>
        <w:t>3320.55</w:t>
      </w:r>
      <w:r>
        <w:rPr>
          <w:rFonts w:hint="eastAsia" w:ascii="楷体_GB2312" w:hAnsi="楷体_GB2312" w:eastAsia="楷体_GB2312" w:cs="楷体_GB2312"/>
          <w:sz w:val="32"/>
          <w:szCs w:val="32"/>
        </w:rPr>
        <w:t>万元。</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（五）非税收入和基金执收情况</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 w:hAnsi="楷体" w:eastAsia="楷体" w:cs="楷体"/>
          <w:sz w:val="32"/>
          <w:szCs w:val="32"/>
        </w:rPr>
        <w:t>非税收入是按照山西省财政厅关于印发《省直机关培训费管理办法》的通知，每人每天培训费400元的标准收取的。收取方式是：给培训单位开</w:t>
      </w:r>
      <w:r>
        <w:rPr>
          <w:rFonts w:hint="eastAsia" w:ascii="楷体" w:hAnsi="楷体" w:eastAsia="楷体" w:cs="楷体"/>
          <w:sz w:val="32"/>
          <w:szCs w:val="32"/>
          <w:lang w:eastAsia="zh-CN"/>
        </w:rPr>
        <w:t>具</w:t>
      </w:r>
      <w:r>
        <w:rPr>
          <w:rFonts w:hint="eastAsia" w:ascii="楷体" w:hAnsi="楷体" w:eastAsia="楷体" w:cs="楷体"/>
          <w:sz w:val="32"/>
          <w:szCs w:val="32"/>
        </w:rPr>
        <w:t>非税管理部门提供的</w:t>
      </w:r>
      <w:r>
        <w:rPr>
          <w:rFonts w:hint="eastAsia" w:ascii="楷体" w:hAnsi="楷体" w:eastAsia="楷体" w:cs="楷体"/>
          <w:sz w:val="32"/>
          <w:szCs w:val="32"/>
          <w:lang w:eastAsia="zh-CN"/>
        </w:rPr>
        <w:t>非税收入统一票据</w:t>
      </w:r>
      <w:r>
        <w:rPr>
          <w:rFonts w:hint="eastAsia" w:ascii="楷体" w:hAnsi="楷体" w:eastAsia="楷体" w:cs="楷体"/>
          <w:sz w:val="32"/>
          <w:szCs w:val="32"/>
        </w:rPr>
        <w:t>，培训费全部上缴市国库。</w:t>
      </w:r>
    </w:p>
    <w:p>
      <w:pPr>
        <w:keepNext w:val="0"/>
        <w:keepLines w:val="0"/>
        <w:pageBreakBefore w:val="0"/>
        <w:widowControl w:val="0"/>
        <w:numPr>
          <w:ilvl w:val="0"/>
          <w:numId w:val="0"/>
        </w:numPr>
        <w:kinsoku/>
        <w:wordWrap/>
        <w:overflowPunct/>
        <w:topLinePunct w:val="0"/>
        <w:bidi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（六）其他</w:t>
      </w:r>
    </w:p>
    <w:p>
      <w:pPr>
        <w:keepNext w:val="0"/>
        <w:keepLines w:val="0"/>
        <w:pageBreakBefore w:val="0"/>
        <w:widowControl w:val="0"/>
        <w:kinsoku/>
        <w:wordWrap/>
        <w:overflowPunct/>
        <w:topLinePunct w:val="0"/>
        <w:bidi w:val="0"/>
        <w:snapToGrid/>
        <w:spacing w:line="240" w:lineRule="auto"/>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keepNext w:val="0"/>
        <w:keepLines w:val="0"/>
        <w:pageBreakBefore w:val="0"/>
        <w:widowControl w:val="0"/>
        <w:kinsoku/>
        <w:wordWrap/>
        <w:overflowPunct/>
        <w:topLinePunct w:val="0"/>
        <w:bidi w:val="0"/>
        <w:snapToGrid/>
        <w:spacing w:line="240" w:lineRule="auto"/>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240"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rPr>
          <w:rFonts w:hint="eastAsia" w:ascii="楷体_GB2312" w:hAnsi="楷体_GB2312" w:eastAsia="楷体_GB2312" w:cs="楷体_GB2312"/>
          <w:sz w:val="32"/>
          <w:szCs w:val="32"/>
          <w:lang w:val="en-US" w:eastAsia="zh-CN"/>
        </w:rPr>
      </w:pP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太行干部学院</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二Ｏ二Ｏ年五月二十日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B2057"/>
    <w:multiLevelType w:val="singleLevel"/>
    <w:tmpl w:val="1AFB20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0361"/>
    <w:rsid w:val="00332350"/>
    <w:rsid w:val="00530361"/>
    <w:rsid w:val="00552BFB"/>
    <w:rsid w:val="00575A54"/>
    <w:rsid w:val="0069691F"/>
    <w:rsid w:val="006C112A"/>
    <w:rsid w:val="007E3878"/>
    <w:rsid w:val="008E24FF"/>
    <w:rsid w:val="009C570F"/>
    <w:rsid w:val="00A665B7"/>
    <w:rsid w:val="00A76357"/>
    <w:rsid w:val="00D278F0"/>
    <w:rsid w:val="00E24128"/>
    <w:rsid w:val="00E43FC2"/>
    <w:rsid w:val="01B4135D"/>
    <w:rsid w:val="05510D46"/>
    <w:rsid w:val="06456522"/>
    <w:rsid w:val="084D6BCD"/>
    <w:rsid w:val="0985628C"/>
    <w:rsid w:val="0B5A1DB5"/>
    <w:rsid w:val="0CD7275A"/>
    <w:rsid w:val="18424065"/>
    <w:rsid w:val="1A4B3503"/>
    <w:rsid w:val="1C0C3B07"/>
    <w:rsid w:val="1E606C97"/>
    <w:rsid w:val="1F75674E"/>
    <w:rsid w:val="1FC20651"/>
    <w:rsid w:val="1FE91B9D"/>
    <w:rsid w:val="30782051"/>
    <w:rsid w:val="32235ED9"/>
    <w:rsid w:val="35BC1C21"/>
    <w:rsid w:val="37334D73"/>
    <w:rsid w:val="390D56C2"/>
    <w:rsid w:val="3B8C3434"/>
    <w:rsid w:val="3E700E3C"/>
    <w:rsid w:val="4C2A373B"/>
    <w:rsid w:val="4D27293B"/>
    <w:rsid w:val="4EC5555E"/>
    <w:rsid w:val="4F7D7F40"/>
    <w:rsid w:val="501E791D"/>
    <w:rsid w:val="508F58F6"/>
    <w:rsid w:val="516E1A8F"/>
    <w:rsid w:val="53A371B6"/>
    <w:rsid w:val="549B2EB0"/>
    <w:rsid w:val="5C8205E7"/>
    <w:rsid w:val="61196E57"/>
    <w:rsid w:val="6157253F"/>
    <w:rsid w:val="61D6691C"/>
    <w:rsid w:val="63637CAA"/>
    <w:rsid w:val="67717058"/>
    <w:rsid w:val="68CB0C77"/>
    <w:rsid w:val="695D0172"/>
    <w:rsid w:val="69B244C2"/>
    <w:rsid w:val="6A864F18"/>
    <w:rsid w:val="71765F13"/>
    <w:rsid w:val="72F54A94"/>
    <w:rsid w:val="72FF3059"/>
    <w:rsid w:val="758F30BE"/>
    <w:rsid w:val="77131C24"/>
    <w:rsid w:val="77856F1E"/>
    <w:rsid w:val="7CFD17B0"/>
    <w:rsid w:val="7D615C38"/>
    <w:rsid w:val="7F0D72AA"/>
    <w:rsid w:val="7F553E36"/>
    <w:rsid w:val="7F694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29</TotalTime>
  <ScaleCrop>false</ScaleCrop>
  <LinksUpToDate>false</LinksUpToDate>
  <CharactersWithSpaces>1057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2017-01-18T09:15:00Z</cp:lastPrinted>
  <dcterms:modified xsi:type="dcterms:W3CDTF">2020-05-21T03:06:55Z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