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lang w:eastAsia="zh-CN"/>
        </w:rPr>
      </w:pPr>
    </w:p>
    <w:p>
      <w:pPr>
        <w:jc w:val="center"/>
        <w:rPr>
          <w:rFonts w:hint="eastAsia"/>
          <w:b/>
          <w:sz w:val="48"/>
          <w:szCs w:val="48"/>
          <w:lang w:eastAsia="zh-CN"/>
        </w:rPr>
      </w:pPr>
      <w:r>
        <w:rPr>
          <w:rFonts w:hint="eastAsia"/>
          <w:b/>
          <w:sz w:val="48"/>
          <w:szCs w:val="48"/>
          <w:lang w:eastAsia="zh-CN"/>
        </w:rPr>
        <w:t>长治市人民代表大会常务委员会</w:t>
      </w:r>
    </w:p>
    <w:p>
      <w:pPr>
        <w:jc w:val="center"/>
        <w:rPr>
          <w:rFonts w:hint="eastAsia"/>
          <w:b/>
          <w:sz w:val="48"/>
          <w:szCs w:val="48"/>
        </w:rPr>
      </w:pPr>
      <w:r>
        <w:rPr>
          <w:rFonts w:hint="eastAsia"/>
          <w:b/>
          <w:sz w:val="48"/>
          <w:szCs w:val="48"/>
          <w:lang w:val="en-US" w:eastAsia="zh-CN"/>
        </w:rPr>
        <w:t>2020</w:t>
      </w:r>
      <w:r>
        <w:rPr>
          <w:rFonts w:hint="eastAsia"/>
          <w:b/>
          <w:sz w:val="48"/>
          <w:szCs w:val="48"/>
        </w:rPr>
        <w:t>年度部门</w:t>
      </w:r>
      <w:r>
        <w:rPr>
          <w:rFonts w:hint="eastAsia"/>
          <w:b/>
          <w:sz w:val="48"/>
          <w:szCs w:val="48"/>
          <w:lang w:eastAsia="zh-CN"/>
        </w:rPr>
        <w:t>预</w:t>
      </w:r>
      <w:r>
        <w:rPr>
          <w:rFonts w:hint="eastAsia"/>
          <w:b/>
          <w:sz w:val="48"/>
          <w:szCs w:val="48"/>
        </w:rPr>
        <w:t>算</w:t>
      </w:r>
      <w:r>
        <w:rPr>
          <w:rFonts w:hint="eastAsia"/>
          <w:b/>
          <w:sz w:val="48"/>
          <w:szCs w:val="48"/>
          <w:lang w:eastAsia="zh-CN"/>
        </w:rPr>
        <w:t>相关</w:t>
      </w:r>
      <w:r>
        <w:rPr>
          <w:rFonts w:hint="eastAsia"/>
          <w:b/>
          <w:sz w:val="48"/>
          <w:szCs w:val="48"/>
        </w:rPr>
        <w:t>说明</w:t>
      </w:r>
    </w:p>
    <w:p>
      <w:pPr>
        <w:ind w:firstLine="482" w:firstLineChars="100"/>
        <w:jc w:val="center"/>
        <w:rPr>
          <w:rFonts w:hint="eastAsia"/>
          <w:b/>
          <w:sz w:val="48"/>
          <w:szCs w:val="48"/>
        </w:rPr>
      </w:pPr>
    </w:p>
    <w:p>
      <w:pPr>
        <w:keepNext w:val="0"/>
        <w:keepLines w:val="0"/>
        <w:pageBreakBefore w:val="0"/>
        <w:numPr>
          <w:ilvl w:val="0"/>
          <w:numId w:val="0"/>
        </w:numPr>
        <w:kinsoku/>
        <w:wordWrap/>
        <w:overflowPunct/>
        <w:topLinePunct w:val="0"/>
        <w:autoSpaceDE/>
        <w:autoSpaceDN/>
        <w:bidi w:val="0"/>
        <w:spacing w:line="580" w:lineRule="exact"/>
        <w:ind w:left="640" w:leftChars="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概况</w:t>
      </w:r>
    </w:p>
    <w:p>
      <w:pPr>
        <w:keepNext w:val="0"/>
        <w:keepLines w:val="0"/>
        <w:pageBreakBefore w:val="0"/>
        <w:numPr>
          <w:ilvl w:val="0"/>
          <w:numId w:val="0"/>
        </w:numPr>
        <w:kinsoku/>
        <w:wordWrap/>
        <w:overflowPunct/>
        <w:topLinePunct w:val="0"/>
        <w:autoSpaceDE/>
        <w:autoSpaceDN/>
        <w:bidi w:val="0"/>
        <w:spacing w:line="580" w:lineRule="exact"/>
        <w:ind w:left="640" w:leftChars="0"/>
        <w:textAlignment w:val="auto"/>
        <w:outlineLvl w:val="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一、本部门职责</w:t>
      </w:r>
    </w:p>
    <w:p>
      <w:pPr>
        <w:keepNext w:val="0"/>
        <w:keepLines w:val="0"/>
        <w:pageBreakBefore w:val="0"/>
        <w:kinsoku/>
        <w:wordWrap/>
        <w:overflowPunct/>
        <w:topLinePunct w:val="0"/>
        <w:autoSpaceDE/>
        <w:autoSpaceDN/>
        <w:bidi w:val="0"/>
        <w:spacing w:line="58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长治市人民代表大会常务委员会（下称</w:t>
      </w:r>
      <w:r>
        <w:rPr>
          <w:rFonts w:hint="eastAsia" w:ascii="仿宋_GB2312" w:eastAsia="仿宋_GB2312"/>
          <w:sz w:val="32"/>
          <w:szCs w:val="32"/>
          <w:lang w:val="en-US" w:eastAsia="zh-CN"/>
        </w:rPr>
        <w:t>长治市人大常委会</w:t>
      </w:r>
      <w:r>
        <w:rPr>
          <w:rFonts w:hint="eastAsia" w:ascii="仿宋_GB2312" w:eastAsia="仿宋_GB2312"/>
          <w:sz w:val="32"/>
          <w:szCs w:val="32"/>
          <w:lang w:eastAsia="zh-CN"/>
        </w:rPr>
        <w:t>）于</w:t>
      </w:r>
      <w:r>
        <w:rPr>
          <w:rFonts w:hint="eastAsia" w:ascii="仿宋_GB2312" w:eastAsia="仿宋_GB2312"/>
          <w:sz w:val="32"/>
          <w:szCs w:val="32"/>
          <w:lang w:val="en-US" w:eastAsia="zh-CN"/>
        </w:rPr>
        <w:t>1983年1月按照《中华人民共和国宪法》和《中华人民共和国地方各级人民代表大会和地方各级人民委员会组织法》，经长治市第七届人民代表大会选举后正式设立。长治市人大常委会的主要职责是：依法制定地方性法规；审议决定本行政区域内的重大事项；对市“一府两院一委”的工作实施监督；依法行使人事任免权。</w:t>
      </w:r>
    </w:p>
    <w:p>
      <w:pPr>
        <w:pStyle w:val="4"/>
        <w:keepNext w:val="0"/>
        <w:keepLines w:val="0"/>
        <w:pageBreakBefore w:val="0"/>
        <w:kinsoku/>
        <w:wordWrap/>
        <w:overflowPunct/>
        <w:topLinePunct w:val="0"/>
        <w:autoSpaceDE/>
        <w:autoSpaceDN/>
        <w:bidi w:val="0"/>
        <w:spacing w:after="0" w:line="580" w:lineRule="exact"/>
        <w:ind w:left="0" w:leftChars="0" w:firstLine="0" w:firstLineChars="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楷体" w:hAnsi="楷体" w:eastAsia="楷体" w:cs="楷体"/>
          <w:b w:val="0"/>
          <w:bCs w:val="0"/>
          <w:sz w:val="32"/>
          <w:szCs w:val="32"/>
          <w:lang w:val="en-US" w:eastAsia="zh-CN"/>
        </w:rPr>
        <w:t>二、机构设置情况</w:t>
      </w:r>
    </w:p>
    <w:p>
      <w:pPr>
        <w:keepNext w:val="0"/>
        <w:keepLines w:val="0"/>
        <w:pageBreakBefore w:val="0"/>
        <w:kinsoku/>
        <w:wordWrap/>
        <w:overflowPunct/>
        <w:topLinePunct w:val="0"/>
        <w:autoSpaceDE/>
        <w:autoSpaceDN/>
        <w:bidi w:val="0"/>
        <w:spacing w:line="580" w:lineRule="exact"/>
        <w:ind w:firstLine="320" w:firstLineChars="10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长治市</w:t>
      </w:r>
      <w:r>
        <w:rPr>
          <w:rFonts w:hint="eastAsia" w:ascii="仿宋_GB2312" w:eastAsia="仿宋_GB2312"/>
          <w:sz w:val="32"/>
          <w:szCs w:val="32"/>
        </w:rPr>
        <w:t>人大</w:t>
      </w:r>
      <w:r>
        <w:rPr>
          <w:rFonts w:hint="eastAsia" w:ascii="仿宋_GB2312" w:eastAsia="仿宋_GB2312"/>
          <w:sz w:val="32"/>
          <w:szCs w:val="32"/>
          <w:lang w:eastAsia="zh-CN"/>
        </w:rPr>
        <w:t>常委会设十一个工作机构：办公室、研究室、法制工作委员会、财政经济工作委员会、教育科学文化卫生工作委员会、农村工作委员会、城乡建设环境保护工作委员会、人事代表工作委员会、民族宗教侨务事务工作委员会、监察和司法工作委员会、人大信访办公室。</w:t>
      </w:r>
      <w:r>
        <w:rPr>
          <w:rFonts w:hint="eastAsia" w:ascii="仿宋_GB2312" w:eastAsia="仿宋_GB2312"/>
          <w:sz w:val="32"/>
          <w:szCs w:val="32"/>
        </w:rPr>
        <w:t>定编</w:t>
      </w:r>
      <w:r>
        <w:rPr>
          <w:rFonts w:hint="eastAsia" w:ascii="仿宋_GB2312" w:eastAsia="仿宋_GB2312"/>
          <w:sz w:val="32"/>
          <w:szCs w:val="32"/>
          <w:lang w:val="en-US" w:eastAsia="zh-CN"/>
        </w:rPr>
        <w:t>43</w:t>
      </w:r>
      <w:r>
        <w:rPr>
          <w:rFonts w:hint="eastAsia" w:ascii="仿宋_GB2312" w:eastAsia="仿宋_GB2312"/>
          <w:sz w:val="32"/>
          <w:szCs w:val="32"/>
        </w:rPr>
        <w:t>人</w:t>
      </w:r>
      <w:r>
        <w:rPr>
          <w:rFonts w:hint="eastAsia" w:ascii="仿宋_GB2312" w:eastAsia="仿宋_GB2312"/>
          <w:sz w:val="32"/>
          <w:szCs w:val="32"/>
          <w:lang w:eastAsia="zh-CN"/>
        </w:rPr>
        <w:t>，</w:t>
      </w:r>
      <w:r>
        <w:rPr>
          <w:rFonts w:hint="eastAsia" w:ascii="仿宋_GB2312" w:eastAsia="仿宋_GB2312"/>
          <w:sz w:val="32"/>
          <w:szCs w:val="32"/>
          <w:lang w:val="en-US" w:eastAsia="zh-CN"/>
        </w:rPr>
        <w:t>实有43人</w:t>
      </w:r>
      <w:r>
        <w:rPr>
          <w:rFonts w:hint="eastAsia" w:ascii="仿宋_GB2312" w:eastAsia="仿宋_GB2312"/>
          <w:sz w:val="32"/>
          <w:szCs w:val="32"/>
        </w:rPr>
        <w:t>（不含</w:t>
      </w:r>
      <w:r>
        <w:rPr>
          <w:rFonts w:hint="eastAsia" w:ascii="仿宋_GB2312" w:eastAsia="仿宋_GB2312"/>
          <w:sz w:val="32"/>
          <w:szCs w:val="32"/>
          <w:lang w:eastAsia="zh-CN"/>
        </w:rPr>
        <w:t>厅级及</w:t>
      </w:r>
      <w:r>
        <w:rPr>
          <w:rFonts w:hint="eastAsia" w:ascii="仿宋_GB2312" w:eastAsia="仿宋_GB2312"/>
          <w:sz w:val="32"/>
          <w:szCs w:val="32"/>
        </w:rPr>
        <w:t>工勤人员）</w:t>
      </w:r>
      <w:r>
        <w:rPr>
          <w:rFonts w:hint="eastAsia" w:ascii="仿宋_GB2312" w:eastAsia="仿宋_GB2312"/>
          <w:sz w:val="32"/>
          <w:szCs w:val="32"/>
          <w:lang w:val="en-US" w:eastAsia="zh-CN"/>
        </w:rPr>
        <w:t>。下属全额</w:t>
      </w:r>
      <w:r>
        <w:rPr>
          <w:rFonts w:hint="eastAsia" w:ascii="仿宋_GB2312" w:eastAsia="仿宋_GB2312"/>
          <w:sz w:val="32"/>
          <w:szCs w:val="32"/>
        </w:rPr>
        <w:t>事业</w:t>
      </w:r>
      <w:r>
        <w:rPr>
          <w:rFonts w:hint="eastAsia" w:ascii="仿宋_GB2312" w:eastAsia="仿宋_GB2312"/>
          <w:sz w:val="32"/>
          <w:szCs w:val="32"/>
          <w:lang w:eastAsia="zh-CN"/>
        </w:rPr>
        <w:t>单位</w:t>
      </w:r>
      <w:r>
        <w:rPr>
          <w:rFonts w:hint="eastAsia" w:ascii="仿宋_GB2312" w:eastAsia="仿宋_GB2312"/>
          <w:sz w:val="32"/>
          <w:szCs w:val="32"/>
        </w:rPr>
        <w:t>2个</w:t>
      </w:r>
      <w:r>
        <w:rPr>
          <w:rFonts w:hint="eastAsia" w:ascii="仿宋_GB2312" w:eastAsia="仿宋_GB2312"/>
          <w:sz w:val="32"/>
          <w:szCs w:val="32"/>
          <w:lang w:val="en-US" w:eastAsia="zh-CN"/>
        </w:rPr>
        <w:t>（</w:t>
      </w:r>
      <w:r>
        <w:rPr>
          <w:rFonts w:hint="eastAsia" w:ascii="仿宋_GB2312" w:eastAsia="仿宋_GB2312"/>
          <w:sz w:val="32"/>
          <w:szCs w:val="32"/>
          <w:lang w:eastAsia="zh-CN"/>
        </w:rPr>
        <w:t>财务均</w:t>
      </w:r>
      <w:r>
        <w:rPr>
          <w:rFonts w:hint="eastAsia" w:ascii="仿宋_GB2312" w:eastAsia="仿宋_GB2312"/>
          <w:sz w:val="32"/>
          <w:szCs w:val="32"/>
        </w:rPr>
        <w:t>未独立核算</w:t>
      </w:r>
      <w:r>
        <w:rPr>
          <w:rFonts w:hint="eastAsia" w:ascii="仿宋_GB2312" w:eastAsia="仿宋_GB2312"/>
          <w:sz w:val="32"/>
          <w:szCs w:val="32"/>
          <w:lang w:eastAsia="zh-CN"/>
        </w:rPr>
        <w:t>）：长治市人大常委会信息中心，</w:t>
      </w:r>
      <w:r>
        <w:rPr>
          <w:rFonts w:hint="eastAsia" w:ascii="仿宋_GB2312" w:eastAsia="仿宋_GB2312"/>
          <w:sz w:val="32"/>
          <w:szCs w:val="32"/>
        </w:rPr>
        <w:t>定编</w:t>
      </w:r>
      <w:r>
        <w:rPr>
          <w:rFonts w:hint="eastAsia" w:ascii="仿宋_GB2312" w:eastAsia="仿宋_GB2312"/>
          <w:sz w:val="32"/>
          <w:szCs w:val="32"/>
          <w:lang w:val="en-US" w:eastAsia="zh-CN"/>
        </w:rPr>
        <w:t>4人，实有3人；长治市人民代表大会代表联络服务中心，</w:t>
      </w:r>
      <w:r>
        <w:rPr>
          <w:rFonts w:hint="eastAsia" w:ascii="仿宋_GB2312" w:eastAsia="仿宋_GB2312"/>
          <w:sz w:val="32"/>
          <w:szCs w:val="32"/>
        </w:rPr>
        <w:t>定编</w:t>
      </w:r>
      <w:r>
        <w:rPr>
          <w:rFonts w:hint="eastAsia" w:ascii="仿宋_GB2312" w:eastAsia="仿宋_GB2312"/>
          <w:sz w:val="32"/>
          <w:szCs w:val="32"/>
          <w:lang w:val="en-US" w:eastAsia="zh-CN"/>
        </w:rPr>
        <w:t>4人，实有4人。</w:t>
      </w:r>
    </w:p>
    <w:p>
      <w:pPr>
        <w:keepNext w:val="0"/>
        <w:keepLines w:val="0"/>
        <w:pageBreakBefore w:val="0"/>
        <w:kinsoku/>
        <w:wordWrap/>
        <w:overflowPunct/>
        <w:topLinePunct w:val="0"/>
        <w:autoSpaceDE/>
        <w:autoSpaceDN/>
        <w:bidi w:val="0"/>
        <w:spacing w:line="58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第二部分</w:t>
      </w:r>
      <w:r>
        <w:rPr>
          <w:rFonts w:hint="eastAsia" w:ascii="黑体" w:hAnsi="黑体" w:eastAsia="黑体" w:cs="黑体"/>
          <w:sz w:val="32"/>
          <w:szCs w:val="32"/>
          <w:lang w:val="en-US" w:eastAsia="zh-CN"/>
        </w:rPr>
        <w:t xml:space="preserve">  2020年度部门预算情况说明</w:t>
      </w:r>
    </w:p>
    <w:p>
      <w:pPr>
        <w:keepNext w:val="0"/>
        <w:keepLines w:val="0"/>
        <w:pageBreakBefore w:val="0"/>
        <w:numPr>
          <w:ilvl w:val="0"/>
          <w:numId w:val="0"/>
        </w:numPr>
        <w:kinsoku/>
        <w:wordWrap/>
        <w:overflowPunct/>
        <w:topLinePunct w:val="0"/>
        <w:autoSpaceDE/>
        <w:autoSpaceDN/>
        <w:bidi w:val="0"/>
        <w:spacing w:line="580" w:lineRule="exact"/>
        <w:ind w:firstLine="64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一、2020年度部门预算数据变动情况及原因</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_GB2312" w:eastAsia="仿宋_GB2312"/>
          <w:sz w:val="32"/>
          <w:szCs w:val="32"/>
          <w:lang w:eastAsia="zh-CN"/>
        </w:rPr>
        <w:t>长治市人民代表大会常务委员会</w:t>
      </w:r>
      <w:r>
        <w:rPr>
          <w:rFonts w:hint="eastAsia" w:ascii="仿宋_GB2312" w:eastAsia="仿宋_GB2312"/>
          <w:sz w:val="32"/>
          <w:szCs w:val="32"/>
          <w:lang w:val="en-US" w:eastAsia="zh-CN"/>
        </w:rPr>
        <w:t>2020年预算1591.42万元，比2019年预算增加135.95万元，同比增长9.34%，增长原因为人员工资及项目经费变动。</w:t>
      </w:r>
    </w:p>
    <w:p>
      <w:pPr>
        <w:keepNext w:val="0"/>
        <w:keepLines w:val="0"/>
        <w:pageBreakBefore w:val="0"/>
        <w:numPr>
          <w:ilvl w:val="0"/>
          <w:numId w:val="0"/>
        </w:numPr>
        <w:kinsoku/>
        <w:wordWrap/>
        <w:overflowPunct/>
        <w:topLinePunct w:val="0"/>
        <w:autoSpaceDE/>
        <w:autoSpaceDN/>
        <w:bidi w:val="0"/>
        <w:spacing w:line="580" w:lineRule="exact"/>
        <w:ind w:firstLine="64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二、“三公经费”增减变动原因说明</w:t>
      </w:r>
    </w:p>
    <w:p>
      <w:pPr>
        <w:keepNext w:val="0"/>
        <w:keepLines w:val="0"/>
        <w:pageBreakBefore w:val="0"/>
        <w:numPr>
          <w:ilvl w:val="0"/>
          <w:numId w:val="0"/>
        </w:numPr>
        <w:kinsoku/>
        <w:wordWrap/>
        <w:overflowPunct/>
        <w:topLinePunct w:val="0"/>
        <w:autoSpaceDE/>
        <w:autoSpaceDN/>
        <w:bidi w:val="0"/>
        <w:spacing w:line="58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2020年度，公务接待费预算金额2万元，公务用车运行维护费预算金额22.7万元，共计24.7万元。比2019年“三公经费”预算金额减少2万元，同比下降7.49%，下降原因为业务变动。</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lang w:val="en-US" w:eastAsia="zh-CN"/>
        </w:rPr>
        <w:t>机关运行经费增减变动原因说明</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_GB2312" w:eastAsia="仿宋_GB2312"/>
          <w:sz w:val="32"/>
          <w:szCs w:val="32"/>
          <w:lang w:eastAsia="zh-CN"/>
        </w:rPr>
        <w:t>长治市人民代表大会常务委员会</w:t>
      </w:r>
      <w:r>
        <w:rPr>
          <w:rFonts w:hint="eastAsia" w:ascii="仿宋_GB2312" w:eastAsia="仿宋_GB2312"/>
          <w:sz w:val="32"/>
          <w:szCs w:val="32"/>
          <w:lang w:val="en-US" w:eastAsia="zh-CN"/>
        </w:rPr>
        <w:t>2020年度机关运行经费财政拨款预算61.05万元（含下属事业单位），比2019年预算减少0.2万元，同比减少0.33%，减少原因为人员变动。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四、其他说明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（一）政府采购情况</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2020年</w:t>
      </w:r>
      <w:r>
        <w:rPr>
          <w:rFonts w:hint="eastAsia" w:ascii="仿宋_GB2312" w:eastAsia="仿宋_GB2312"/>
          <w:sz w:val="32"/>
          <w:szCs w:val="32"/>
          <w:lang w:eastAsia="zh-CN"/>
        </w:rPr>
        <w:t>长治市人民代表大会常务委员会政府采购预算总额</w:t>
      </w:r>
      <w:r>
        <w:rPr>
          <w:rFonts w:hint="eastAsia" w:ascii="仿宋_GB2312" w:eastAsia="仿宋_GB2312"/>
          <w:sz w:val="32"/>
          <w:szCs w:val="32"/>
          <w:lang w:val="en-US" w:eastAsia="zh-CN"/>
        </w:rPr>
        <w:t>76.1万元，其中：政府采购货物预算4.5万元、政府采购服务预算71.6万元。</w:t>
      </w:r>
    </w:p>
    <w:p>
      <w:pPr>
        <w:keepNext w:val="0"/>
        <w:keepLines w:val="0"/>
        <w:pageBreakBefore w:val="0"/>
        <w:numPr>
          <w:ilvl w:val="0"/>
          <w:numId w:val="1"/>
        </w:numPr>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政府购买服务指导性目录</w:t>
      </w:r>
    </w:p>
    <w:p>
      <w:pPr>
        <w:keepNext w:val="0"/>
        <w:keepLines w:val="0"/>
        <w:pageBreakBefore w:val="0"/>
        <w:numPr>
          <w:ilvl w:val="0"/>
          <w:numId w:val="1"/>
        </w:numPr>
        <w:kinsoku/>
        <w:wordWrap/>
        <w:overflowPunct/>
        <w:topLinePunct w:val="0"/>
        <w:autoSpaceDE/>
        <w:autoSpaceDN/>
        <w:bidi w:val="0"/>
        <w:spacing w:line="58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国有资产占有使用情况</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1、车辆情况：</w:t>
      </w:r>
      <w:r>
        <w:rPr>
          <w:rFonts w:hint="eastAsia" w:ascii="仿宋_GB2312" w:eastAsia="仿宋_GB2312"/>
          <w:sz w:val="32"/>
          <w:szCs w:val="32"/>
          <w:lang w:eastAsia="zh-CN"/>
        </w:rPr>
        <w:t>长治市人民代表大会常务委员会核定车辆编制</w:t>
      </w:r>
      <w:r>
        <w:rPr>
          <w:rFonts w:hint="eastAsia" w:ascii="仿宋_GB2312" w:eastAsia="仿宋_GB2312"/>
          <w:sz w:val="32"/>
          <w:szCs w:val="32"/>
          <w:lang w:val="en-US" w:eastAsia="zh-CN"/>
        </w:rPr>
        <w:t>11辆，实有车辆11辆。</w:t>
      </w: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2、房屋情况：</w:t>
      </w:r>
      <w:r>
        <w:rPr>
          <w:rFonts w:hint="eastAsia" w:ascii="仿宋_GB2312" w:eastAsia="仿宋_GB2312"/>
          <w:sz w:val="32"/>
          <w:szCs w:val="32"/>
          <w:lang w:eastAsia="zh-CN"/>
        </w:rPr>
        <w:t>长治市人民代表大会常务委员会办公楼房屋实际面积</w:t>
      </w:r>
      <w:r>
        <w:rPr>
          <w:rFonts w:hint="eastAsia" w:ascii="仿宋_GB2312" w:eastAsia="仿宋_GB2312"/>
          <w:sz w:val="32"/>
          <w:szCs w:val="32"/>
          <w:lang w:val="en-US" w:eastAsia="zh-CN"/>
        </w:rPr>
        <w:t>为2520平方米。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（四）绩效管理情况</w:t>
      </w:r>
    </w:p>
    <w:p>
      <w:pPr>
        <w:keepNext w:val="0"/>
        <w:keepLines w:val="0"/>
        <w:pageBreakBefore w:val="0"/>
        <w:numPr>
          <w:ilvl w:val="0"/>
          <w:numId w:val="0"/>
        </w:numPr>
        <w:kinsoku/>
        <w:wordWrap/>
        <w:overflowPunct/>
        <w:topLinePunct w:val="0"/>
        <w:autoSpaceDE/>
        <w:autoSpaceDN/>
        <w:bidi w:val="0"/>
        <w:spacing w:line="580" w:lineRule="exact"/>
        <w:ind w:firstLine="64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2020年</w:t>
      </w:r>
      <w:r>
        <w:rPr>
          <w:rFonts w:hint="eastAsia" w:ascii="仿宋_GB2312" w:eastAsia="仿宋_GB2312"/>
          <w:sz w:val="32"/>
          <w:szCs w:val="32"/>
          <w:lang w:eastAsia="zh-CN"/>
        </w:rPr>
        <w:t>长治市人民代表大会常务委员会部门实行绩效目标管理的项目有</w:t>
      </w:r>
      <w:r>
        <w:rPr>
          <w:rFonts w:hint="eastAsia" w:ascii="仿宋_GB2312" w:eastAsia="仿宋_GB2312"/>
          <w:sz w:val="32"/>
          <w:szCs w:val="32"/>
          <w:lang w:val="en-US" w:eastAsia="zh-CN"/>
        </w:rPr>
        <w:t>28个，涉及一般公共预算当年拨款491.2万元。</w:t>
      </w:r>
      <w:bookmarkStart w:id="0" w:name="_GoBack"/>
      <w:bookmarkEnd w:id="0"/>
    </w:p>
    <w:p>
      <w:pPr>
        <w:keepNext w:val="0"/>
        <w:keepLines w:val="0"/>
        <w:pageBreakBefore w:val="0"/>
        <w:numPr>
          <w:ilvl w:val="0"/>
          <w:numId w:val="0"/>
        </w:numPr>
        <w:kinsoku/>
        <w:wordWrap/>
        <w:overflowPunct/>
        <w:topLinePunct w:val="0"/>
        <w:autoSpaceDE/>
        <w:autoSpaceDN/>
        <w:bidi w:val="0"/>
        <w:spacing w:line="580" w:lineRule="exact"/>
        <w:ind w:firstLine="64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（五）非税收入和基金执收情况</w:t>
      </w:r>
    </w:p>
    <w:p>
      <w:pPr>
        <w:keepNext w:val="0"/>
        <w:keepLines w:val="0"/>
        <w:pageBreakBefore w:val="0"/>
        <w:numPr>
          <w:ilvl w:val="0"/>
          <w:numId w:val="0"/>
        </w:numPr>
        <w:kinsoku/>
        <w:wordWrap/>
        <w:overflowPunct/>
        <w:topLinePunct w:val="0"/>
        <w:autoSpaceDE/>
        <w:autoSpaceDN/>
        <w:bidi w:val="0"/>
        <w:spacing w:line="580" w:lineRule="exact"/>
        <w:ind w:left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无。</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（六）其他</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无。</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名词解释</w:t>
      </w:r>
    </w:p>
    <w:p>
      <w:pPr>
        <w:numPr>
          <w:ilvl w:val="0"/>
          <w:numId w:val="0"/>
        </w:num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（一）基本支出：</w:t>
      </w:r>
      <w:r>
        <w:rPr>
          <w:rFonts w:hint="eastAsia" w:ascii="仿宋" w:hAnsi="仿宋" w:eastAsia="仿宋" w:cs="仿宋"/>
          <w:sz w:val="32"/>
          <w:szCs w:val="32"/>
          <w:lang w:eastAsia="zh-CN"/>
        </w:rPr>
        <w:t>指为保障机构正常运转、完成日常工作任务而发生的人员支出和公用支出。</w:t>
      </w:r>
    </w:p>
    <w:p>
      <w:pPr>
        <w:numPr>
          <w:ilvl w:val="0"/>
          <w:numId w:val="0"/>
        </w:num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（二）项目支出：</w:t>
      </w:r>
      <w:r>
        <w:rPr>
          <w:rFonts w:hint="eastAsia" w:ascii="仿宋" w:hAnsi="仿宋" w:eastAsia="仿宋" w:cs="仿宋"/>
          <w:sz w:val="32"/>
          <w:szCs w:val="32"/>
          <w:lang w:eastAsia="zh-CN"/>
        </w:rPr>
        <w:t>指在基本支出之外为完成特定行政任务和事业发展目标所发生的支出。</w:t>
      </w:r>
    </w:p>
    <w:p>
      <w:pPr>
        <w:numPr>
          <w:ilvl w:val="0"/>
          <w:numId w:val="0"/>
        </w:num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（三）“三公”经费：</w:t>
      </w:r>
      <w:r>
        <w:rPr>
          <w:rFonts w:hint="eastAsia" w:ascii="仿宋" w:hAnsi="仿宋" w:eastAsia="仿宋" w:cs="仿宋"/>
          <w:sz w:val="32"/>
          <w:szCs w:val="32"/>
          <w:lang w:eastAsia="zh-CN"/>
        </w:rPr>
        <w:t>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numPr>
          <w:ilvl w:val="0"/>
          <w:numId w:val="0"/>
        </w:num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（四）机关运行经费：</w:t>
      </w:r>
      <w:r>
        <w:rPr>
          <w:rFonts w:hint="eastAsia" w:ascii="仿宋" w:hAnsi="仿宋" w:eastAsia="仿宋" w:cs="仿宋"/>
          <w:sz w:val="32"/>
          <w:szCs w:val="32"/>
          <w:lang w:eastAsia="zh-CN"/>
        </w:rPr>
        <w:t>指行政单位和参照公务员法管理的事业单位使用一般公共预算安排的基本支出中的日常公用经费支出。</w:t>
      </w:r>
    </w:p>
    <w:p>
      <w:pPr>
        <w:numPr>
          <w:ilvl w:val="0"/>
          <w:numId w:val="0"/>
        </w:numPr>
        <w:ind w:firstLine="640" w:firstLineChars="200"/>
        <w:rPr>
          <w:rFonts w:hint="eastAsia"/>
          <w:sz w:val="32"/>
          <w:szCs w:val="32"/>
          <w:lang w:eastAsia="zh-CN"/>
        </w:rPr>
      </w:pP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spacing w:line="58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80" w:lineRule="exact"/>
        <w:textAlignment w:val="auto"/>
        <w:rPr>
          <w:rFonts w:hint="eastAsia" w:ascii="仿宋_GB2312" w:eastAsia="仿宋_GB2312"/>
          <w:sz w:val="30"/>
          <w:lang w:val="en-US" w:eastAsia="zh-CN"/>
        </w:rPr>
      </w:pPr>
      <w:r>
        <w:rPr>
          <w:rFonts w:hint="eastAsia" w:ascii="仿宋_GB2312" w:eastAsia="仿宋_GB2312"/>
          <w:sz w:val="30"/>
          <w:lang w:val="en-US" w:eastAsia="zh-CN"/>
        </w:rPr>
        <w:t xml:space="preserve">                            长治市人大常委会办公室</w:t>
      </w:r>
    </w:p>
    <w:p>
      <w:pPr>
        <w:keepNext w:val="0"/>
        <w:keepLines w:val="0"/>
        <w:pageBreakBefore w:val="0"/>
        <w:kinsoku/>
        <w:wordWrap/>
        <w:overflowPunct/>
        <w:topLinePunct w:val="0"/>
        <w:autoSpaceDE/>
        <w:autoSpaceDN/>
        <w:bidi w:val="0"/>
        <w:spacing w:line="580" w:lineRule="exact"/>
        <w:textAlignment w:val="auto"/>
        <w:rPr>
          <w:rFonts w:hint="eastAsia" w:ascii="仿宋_GB2312" w:eastAsia="仿宋_GB2312"/>
          <w:sz w:val="30"/>
          <w:lang w:val="en-US" w:eastAsia="zh-CN"/>
        </w:rPr>
      </w:pPr>
      <w:r>
        <w:rPr>
          <w:rFonts w:hint="eastAsia" w:ascii="仿宋_GB2312" w:eastAsia="仿宋_GB2312"/>
          <w:sz w:val="30"/>
          <w:lang w:val="en-US" w:eastAsia="zh-CN"/>
        </w:rPr>
        <w:t xml:space="preserve">                               2020年5月20日</w:t>
      </w:r>
    </w:p>
    <w:p>
      <w:pPr>
        <w:keepNext w:val="0"/>
        <w:keepLines w:val="0"/>
        <w:pageBreakBefore w:val="0"/>
        <w:kinsoku/>
        <w:wordWrap/>
        <w:overflowPunct/>
        <w:topLinePunct w:val="0"/>
        <w:autoSpaceDE/>
        <w:autoSpaceDN/>
        <w:bidi w:val="0"/>
        <w:spacing w:line="580" w:lineRule="exact"/>
        <w:textAlignment w:val="auto"/>
      </w:pPr>
    </w:p>
    <w:p/>
    <w:p/>
    <w:p>
      <w:pPr>
        <w:numPr>
          <w:ilvl w:val="0"/>
          <w:numId w:val="0"/>
        </w:numPr>
        <w:rPr>
          <w:rFonts w:hint="eastAsia" w:ascii="仿宋_GB2312" w:eastAsia="仿宋_GB2312"/>
          <w:sz w:val="32"/>
          <w:szCs w:val="32"/>
        </w:rPr>
      </w:pPr>
    </w:p>
    <w:p/>
    <w:p/>
    <w:p/>
    <w:p/>
    <w:p>
      <w:pPr>
        <w:numPr>
          <w:ilvl w:val="0"/>
          <w:numId w:val="0"/>
        </w:numPr>
        <w:ind w:left="320" w:leftChars="0"/>
        <w:rPr>
          <w:rFonts w:hint="eastAsia" w:ascii="仿宋_GB2312" w:hAnsi="仿宋_GB2312" w:eastAsia="仿宋_GB2312" w:cs="仿宋_GB2312"/>
          <w:sz w:val="32"/>
          <w:szCs w:val="32"/>
          <w:lang w:val="en-US" w:eastAsia="zh-CN"/>
        </w:rPr>
      </w:pPr>
    </w:p>
    <w:p>
      <w:pPr>
        <w:numPr>
          <w:ilvl w:val="0"/>
          <w:numId w:val="0"/>
        </w:numPr>
        <w:ind w:left="320" w:leftChars="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283410"/>
    <w:multiLevelType w:val="singleLevel"/>
    <w:tmpl w:val="E228341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A24A6"/>
    <w:rsid w:val="06020139"/>
    <w:rsid w:val="06180B20"/>
    <w:rsid w:val="08133690"/>
    <w:rsid w:val="0927061C"/>
    <w:rsid w:val="09874DE5"/>
    <w:rsid w:val="0AF10519"/>
    <w:rsid w:val="0CD62AAE"/>
    <w:rsid w:val="0D2D35D5"/>
    <w:rsid w:val="0E67053B"/>
    <w:rsid w:val="0F3C1E38"/>
    <w:rsid w:val="0F527EF9"/>
    <w:rsid w:val="10544C07"/>
    <w:rsid w:val="10754B5D"/>
    <w:rsid w:val="109C2F91"/>
    <w:rsid w:val="10F8558D"/>
    <w:rsid w:val="149A328D"/>
    <w:rsid w:val="1533581B"/>
    <w:rsid w:val="15A41E8C"/>
    <w:rsid w:val="15FE690A"/>
    <w:rsid w:val="173B3A99"/>
    <w:rsid w:val="176211DA"/>
    <w:rsid w:val="18C73F8C"/>
    <w:rsid w:val="1A23098C"/>
    <w:rsid w:val="1A7651AA"/>
    <w:rsid w:val="1C257B55"/>
    <w:rsid w:val="1FFA6283"/>
    <w:rsid w:val="29AF3094"/>
    <w:rsid w:val="2CB918FB"/>
    <w:rsid w:val="304B2BBC"/>
    <w:rsid w:val="31C2014E"/>
    <w:rsid w:val="32EB744C"/>
    <w:rsid w:val="3374512D"/>
    <w:rsid w:val="33F968F0"/>
    <w:rsid w:val="35DE2DA0"/>
    <w:rsid w:val="36B84C9D"/>
    <w:rsid w:val="3960083C"/>
    <w:rsid w:val="39922503"/>
    <w:rsid w:val="3A4E2088"/>
    <w:rsid w:val="3CB70986"/>
    <w:rsid w:val="40D86034"/>
    <w:rsid w:val="412C352B"/>
    <w:rsid w:val="4156491F"/>
    <w:rsid w:val="41C4338A"/>
    <w:rsid w:val="43065BAC"/>
    <w:rsid w:val="44843FCF"/>
    <w:rsid w:val="45E319D5"/>
    <w:rsid w:val="45F20AE1"/>
    <w:rsid w:val="4A8510B0"/>
    <w:rsid w:val="4BAE731E"/>
    <w:rsid w:val="4E0C30A1"/>
    <w:rsid w:val="4F2C6AE3"/>
    <w:rsid w:val="4FCA2900"/>
    <w:rsid w:val="506817F7"/>
    <w:rsid w:val="50E6424C"/>
    <w:rsid w:val="538B7898"/>
    <w:rsid w:val="553F162A"/>
    <w:rsid w:val="56352284"/>
    <w:rsid w:val="566F0CA2"/>
    <w:rsid w:val="568F4C40"/>
    <w:rsid w:val="577475A6"/>
    <w:rsid w:val="57DB7DBC"/>
    <w:rsid w:val="59037F8B"/>
    <w:rsid w:val="5943372A"/>
    <w:rsid w:val="5A3C725A"/>
    <w:rsid w:val="5BC2439C"/>
    <w:rsid w:val="5D8739A2"/>
    <w:rsid w:val="5D9A0758"/>
    <w:rsid w:val="5F4D5DA8"/>
    <w:rsid w:val="5FBF5426"/>
    <w:rsid w:val="5FD636BC"/>
    <w:rsid w:val="60570B69"/>
    <w:rsid w:val="62683962"/>
    <w:rsid w:val="649124BF"/>
    <w:rsid w:val="65184A57"/>
    <w:rsid w:val="6968389A"/>
    <w:rsid w:val="6981237E"/>
    <w:rsid w:val="6A5B52E3"/>
    <w:rsid w:val="6AD978FA"/>
    <w:rsid w:val="6CB84456"/>
    <w:rsid w:val="6E9112E6"/>
    <w:rsid w:val="716129DE"/>
    <w:rsid w:val="72F60891"/>
    <w:rsid w:val="731614B6"/>
    <w:rsid w:val="73D330B4"/>
    <w:rsid w:val="74331DBA"/>
    <w:rsid w:val="75316381"/>
    <w:rsid w:val="76F978A3"/>
    <w:rsid w:val="796C4BBE"/>
    <w:rsid w:val="7B193D17"/>
    <w:rsid w:val="7B8A29D2"/>
    <w:rsid w:val="7CBF6344"/>
    <w:rsid w:val="7CFF106F"/>
    <w:rsid w:val="7D3A2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2017-04-11T07:58:00Z</dcterms:created>
  <dc:creator>Administrator</dc:creator>
  <cp:lastModifiedBy>M.</cp:lastModifiedBy>
  <cp:lastPrinted>2020-05-19T01:55:00Z</cp:lastPrinted>
  <dcterms:modified xsi:type="dcterms:W3CDTF">2020-05-21T01:33:25Z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