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adjustRightInd/>
        <w:snapToGrid/>
        <w:spacing w:line="5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长治市生态环境局高新区分局</w:t>
      </w:r>
    </w:p>
    <w:p>
      <w:pPr>
        <w:wordWrap/>
        <w:adjustRightInd/>
        <w:snapToGrid/>
        <w:spacing w:line="560" w:lineRule="exact"/>
        <w:jc w:val="center"/>
        <w:textAlignment w:val="auto"/>
        <w:rPr>
          <w:rFonts w:hint="eastAsia" w:ascii="仿宋" w:hAnsi="仿宋" w:eastAsia="仿宋" w:cs="仿宋"/>
          <w:b/>
          <w:bCs/>
          <w:sz w:val="44"/>
          <w:szCs w:val="44"/>
          <w:lang w:eastAsia="zh-CN"/>
        </w:rPr>
      </w:pPr>
      <w:r>
        <w:rPr>
          <w:rFonts w:hint="eastAsia" w:ascii="仿宋" w:hAnsi="仿宋" w:eastAsia="仿宋" w:cs="仿宋"/>
          <w:b/>
          <w:bCs/>
          <w:sz w:val="44"/>
          <w:szCs w:val="44"/>
        </w:rPr>
        <w:t>20</w:t>
      </w:r>
      <w:r>
        <w:rPr>
          <w:rFonts w:hint="eastAsia" w:ascii="仿宋" w:hAnsi="仿宋" w:eastAsia="仿宋" w:cs="仿宋"/>
          <w:b/>
          <w:bCs/>
          <w:sz w:val="44"/>
          <w:szCs w:val="44"/>
          <w:lang w:val="en-US" w:eastAsia="zh-CN"/>
        </w:rPr>
        <w:t>22</w:t>
      </w:r>
      <w:r>
        <w:rPr>
          <w:rFonts w:hint="eastAsia" w:ascii="仿宋" w:hAnsi="仿宋" w:eastAsia="仿宋" w:cs="仿宋"/>
          <w:b/>
          <w:bCs/>
          <w:sz w:val="44"/>
          <w:szCs w:val="44"/>
        </w:rPr>
        <w:t>年度部门预算</w:t>
      </w:r>
      <w:r>
        <w:rPr>
          <w:rFonts w:hint="eastAsia" w:ascii="仿宋" w:hAnsi="仿宋" w:eastAsia="仿宋" w:cs="仿宋"/>
          <w:b/>
          <w:bCs/>
          <w:sz w:val="44"/>
          <w:szCs w:val="44"/>
          <w:lang w:eastAsia="zh-CN"/>
        </w:rPr>
        <w:t>相关说明</w:t>
      </w:r>
    </w:p>
    <w:p>
      <w:pPr>
        <w:widowControl w:val="0"/>
        <w:wordWrap/>
        <w:adjustRightInd/>
        <w:snapToGrid/>
        <w:spacing w:line="560" w:lineRule="exact"/>
        <w:jc w:val="center"/>
        <w:textAlignment w:val="auto"/>
        <w:rPr>
          <w:rFonts w:ascii="仿宋" w:hAnsi="仿宋" w:eastAsia="仿宋"/>
          <w:sz w:val="44"/>
          <w:szCs w:val="44"/>
        </w:rPr>
      </w:pPr>
    </w:p>
    <w:p>
      <w:pPr>
        <w:wordWrap/>
        <w:adjustRightInd/>
        <w:snapToGrid/>
        <w:spacing w:line="560" w:lineRule="exact"/>
        <w:textAlignment w:val="auto"/>
        <w:rPr>
          <w:rFonts w:ascii="黑体" w:hAnsi="黑体" w:eastAsia="黑体"/>
          <w:sz w:val="32"/>
          <w:szCs w:val="32"/>
        </w:rPr>
      </w:pPr>
      <w:r>
        <w:rPr>
          <w:rFonts w:hint="eastAsia" w:ascii="黑体" w:hAnsi="黑体" w:eastAsia="黑体"/>
          <w:sz w:val="32"/>
          <w:szCs w:val="32"/>
        </w:rPr>
        <w:t>第一部分  概况</w:t>
      </w:r>
    </w:p>
    <w:p>
      <w:pPr>
        <w:wordWrap/>
        <w:adjustRightInd/>
        <w:snapToGrid/>
        <w:spacing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一、本</w:t>
      </w:r>
      <w:r>
        <w:rPr>
          <w:rFonts w:hint="eastAsia" w:ascii="楷体" w:hAnsi="楷体" w:eastAsia="楷体"/>
          <w:sz w:val="32"/>
          <w:szCs w:val="32"/>
          <w:lang w:val="en-US" w:eastAsia="zh-CN"/>
        </w:rPr>
        <w:t>单位</w:t>
      </w:r>
      <w:r>
        <w:rPr>
          <w:rFonts w:hint="eastAsia" w:ascii="楷体" w:hAnsi="楷体" w:eastAsia="楷体"/>
          <w:sz w:val="32"/>
          <w:szCs w:val="32"/>
        </w:rPr>
        <w:t>职责</w:t>
      </w:r>
    </w:p>
    <w:p>
      <w:pPr>
        <w:widowControl/>
        <w:pBdr>
          <w:top w:val="none" w:color="auto" w:sz="0" w:space="0"/>
          <w:left w:val="none" w:color="auto" w:sz="0" w:space="0"/>
          <w:bottom w:val="none" w:color="auto" w:sz="0" w:space="0"/>
          <w:right w:val="none" w:color="auto" w:sz="0" w:space="0"/>
          <w:between w:val="none" w:color="auto" w:sz="0" w:space="0"/>
        </w:pBdr>
        <w:wordWrap/>
        <w:adjustRightInd/>
        <w:snapToGrid/>
        <w:spacing w:line="600" w:lineRule="exact"/>
        <w:ind w:firstLine="641"/>
        <w:textAlignment w:val="auto"/>
        <w:rPr>
          <w:rFonts w:hint="eastAsia" w:ascii="楷体" w:hAnsi="楷体" w:eastAsia="仿宋_GB2312"/>
          <w:sz w:val="32"/>
          <w:szCs w:val="32"/>
          <w:lang w:val="en-US" w:eastAsia="zh-CN"/>
        </w:rPr>
      </w:pPr>
      <w:r>
        <w:rPr>
          <w:rFonts w:hint="eastAsia" w:ascii="仿宋" w:hAnsi="仿宋" w:eastAsia="仿宋"/>
          <w:sz w:val="32"/>
          <w:szCs w:val="32"/>
        </w:rPr>
        <w:t>长治市生态环境局</w:t>
      </w:r>
      <w:r>
        <w:rPr>
          <w:rFonts w:hint="eastAsia" w:ascii="仿宋" w:hAnsi="仿宋" w:eastAsia="仿宋"/>
          <w:sz w:val="32"/>
          <w:szCs w:val="32"/>
          <w:lang w:eastAsia="zh-CN"/>
        </w:rPr>
        <w:t>高新区分局的</w:t>
      </w:r>
      <w:r>
        <w:rPr>
          <w:rFonts w:hint="eastAsia" w:ascii="仿宋" w:hAnsi="仿宋" w:eastAsia="仿宋"/>
          <w:sz w:val="32"/>
          <w:szCs w:val="32"/>
        </w:rPr>
        <w:t>主要职责是：</w:t>
      </w:r>
      <w:r>
        <w:rPr>
          <w:rFonts w:hint="eastAsia" w:ascii="仿宋" w:hAnsi="仿宋" w:eastAsia="仿宋"/>
          <w:sz w:val="32"/>
          <w:szCs w:val="32"/>
          <w:lang w:eastAsia="zh-CN"/>
        </w:rPr>
        <w:t>对高新区范围内生态环境工作实施统一管理，负责属地生态环境执法，强化综合统筹协调，协助做好高新区管委会生态环境保护工作的统筹谋划和科学决策，负责管理高新区和长治市经济技术开发区规划范围内的相关事务，在市局授权范围内承担部分生态环境许可具体工作；</w:t>
      </w:r>
      <w:r>
        <w:rPr>
          <w:rFonts w:hint="eastAsia" w:ascii="仿宋_GB2312" w:eastAsia="仿宋_GB2312"/>
          <w:sz w:val="32"/>
          <w:szCs w:val="32"/>
          <w:lang w:eastAsia="zh-CN"/>
        </w:rPr>
        <w:t>长治市高新区生态环境监测站主要负责辖区内的执法监测，支持配合属地生态环境执法，并按要求做好本辖区内的生态环境质量监测相关工作；长治市高新区生态环境综合行政执法队主要职责为依法查处生态环境违法行为，依法开展污染防治、生态保护、核与辐射安全等方面的日常监督检查。</w:t>
      </w:r>
    </w:p>
    <w:p>
      <w:pPr>
        <w:numPr>
          <w:numId w:val="0"/>
        </w:numPr>
        <w:wordWrap/>
        <w:adjustRightInd/>
        <w:snapToGrid/>
        <w:spacing w:line="560" w:lineRule="exact"/>
        <w:ind w:firstLine="640" w:firstLineChars="200"/>
        <w:textAlignment w:val="auto"/>
        <w:rPr>
          <w:rFonts w:hint="eastAsia" w:ascii="楷体" w:hAnsi="楷体" w:eastAsia="楷体"/>
          <w:sz w:val="32"/>
          <w:szCs w:val="32"/>
        </w:rPr>
      </w:pPr>
      <w:r>
        <w:rPr>
          <w:rFonts w:hint="eastAsia" w:ascii="楷体" w:hAnsi="楷体" w:eastAsia="楷体"/>
          <w:sz w:val="32"/>
          <w:szCs w:val="32"/>
          <w:lang w:eastAsia="zh-CN"/>
        </w:rPr>
        <w:t>二、</w:t>
      </w:r>
      <w:r>
        <w:rPr>
          <w:rFonts w:hint="eastAsia" w:ascii="楷体" w:hAnsi="楷体" w:eastAsia="楷体"/>
          <w:sz w:val="32"/>
          <w:szCs w:val="32"/>
        </w:rPr>
        <w:t>机构设置情况</w:t>
      </w:r>
    </w:p>
    <w:p>
      <w:pPr>
        <w:widowControl/>
        <w:pBdr>
          <w:top w:val="none" w:color="auto" w:sz="0" w:space="0"/>
          <w:left w:val="none" w:color="auto" w:sz="0" w:space="0"/>
          <w:bottom w:val="none" w:color="auto" w:sz="0" w:space="0"/>
          <w:right w:val="none" w:color="auto" w:sz="0" w:space="0"/>
          <w:between w:val="none" w:color="auto" w:sz="0" w:space="0"/>
        </w:pBdr>
        <w:wordWrap/>
        <w:adjustRightInd/>
        <w:snapToGrid/>
        <w:spacing w:line="600" w:lineRule="exact"/>
        <w:ind w:firstLine="641"/>
        <w:textAlignment w:val="auto"/>
        <w:rPr>
          <w:rFonts w:hint="default" w:ascii="楷体" w:hAnsi="楷体" w:eastAsia="仿宋_GB2312"/>
          <w:sz w:val="32"/>
          <w:szCs w:val="32"/>
          <w:lang w:val="en-US" w:eastAsia="zh-CN"/>
        </w:rPr>
      </w:pPr>
      <w:r>
        <w:rPr>
          <w:rFonts w:hint="eastAsia" w:ascii="仿宋" w:hAnsi="仿宋" w:eastAsia="仿宋" w:cs="仿宋"/>
          <w:kern w:val="1"/>
          <w:sz w:val="32"/>
          <w:szCs w:val="32"/>
          <w:lang w:eastAsia="zh-CN"/>
        </w:rPr>
        <w:t>长治市生态环境局</w:t>
      </w:r>
      <w:r>
        <w:rPr>
          <w:rFonts w:hint="eastAsia" w:ascii="仿宋" w:hAnsi="仿宋" w:eastAsia="仿宋" w:cs="仿宋"/>
          <w:kern w:val="1"/>
          <w:sz w:val="32"/>
          <w:szCs w:val="32"/>
          <w:lang w:val="en-US" w:eastAsia="zh-CN"/>
        </w:rPr>
        <w:t>机关</w:t>
      </w:r>
      <w:r>
        <w:rPr>
          <w:rFonts w:ascii="仿宋" w:hAnsi="仿宋" w:eastAsia="仿宋" w:cs="仿宋"/>
          <w:kern w:val="1"/>
          <w:sz w:val="32"/>
          <w:szCs w:val="32"/>
        </w:rPr>
        <w:t>管理机构</w:t>
      </w:r>
      <w:r>
        <w:rPr>
          <w:rFonts w:hint="eastAsia" w:ascii="仿宋_GB2312" w:hAnsi="仿宋_GB2312" w:eastAsia="仿宋_GB2312" w:cs="仿宋_GB2312"/>
          <w:sz w:val="32"/>
          <w:szCs w:val="32"/>
        </w:rPr>
        <w:t>现设</w:t>
      </w:r>
      <w:r>
        <w:rPr>
          <w:rFonts w:hint="eastAsia" w:ascii="仿宋_GB2312" w:hAnsi="仿宋_GB2312" w:eastAsia="仿宋_GB2312" w:cs="仿宋_GB2312"/>
          <w:sz w:val="32"/>
          <w:szCs w:val="32"/>
          <w:lang w:val="en-US" w:eastAsia="zh-CN"/>
        </w:rPr>
        <w:t>1个内设机构，为股级建制。</w:t>
      </w:r>
      <w:r>
        <w:rPr>
          <w:rFonts w:hint="eastAsia" w:ascii="仿宋_GB2312" w:hAnsi="楷体" w:eastAsia="仿宋_GB2312"/>
          <w:sz w:val="32"/>
          <w:szCs w:val="32"/>
          <w:lang w:val="en-US" w:eastAsia="zh-CN"/>
        </w:rPr>
        <w:t>局机关</w:t>
      </w:r>
      <w:r>
        <w:rPr>
          <w:rFonts w:hint="eastAsia" w:ascii="仿宋_GB2312" w:hAnsi="仿宋_GB2312" w:eastAsia="仿宋_GB2312" w:cs="仿宋_GB2312"/>
          <w:color w:val="000000"/>
          <w:kern w:val="0"/>
          <w:sz w:val="32"/>
          <w:szCs w:val="32"/>
          <w:lang w:val="en-US" w:eastAsia="zh-CN"/>
        </w:rPr>
        <w:t>核定行政编制6名，</w:t>
      </w:r>
      <w:r>
        <w:rPr>
          <w:rFonts w:hint="eastAsia" w:ascii="仿宋_GB2312" w:eastAsia="仿宋_GB2312"/>
          <w:sz w:val="32"/>
          <w:szCs w:val="32"/>
        </w:rPr>
        <w:t>现有</w:t>
      </w:r>
      <w:r>
        <w:rPr>
          <w:rFonts w:hint="eastAsia" w:ascii="仿宋_GB2312" w:eastAsia="仿宋_GB2312"/>
          <w:sz w:val="32"/>
          <w:szCs w:val="32"/>
          <w:lang w:val="en-US" w:eastAsia="zh-CN"/>
        </w:rPr>
        <w:t>在职在编</w:t>
      </w:r>
      <w:r>
        <w:rPr>
          <w:rFonts w:hint="eastAsia" w:ascii="仿宋_GB2312" w:eastAsia="仿宋_GB2312"/>
          <w:sz w:val="32"/>
          <w:szCs w:val="32"/>
        </w:rPr>
        <w:t>干部职工共</w:t>
      </w:r>
      <w:r>
        <w:rPr>
          <w:rFonts w:hint="eastAsia" w:ascii="仿宋_GB2312" w:eastAsia="仿宋_GB2312"/>
          <w:sz w:val="32"/>
          <w:szCs w:val="32"/>
          <w:lang w:val="en-US" w:eastAsia="zh-CN"/>
        </w:rPr>
        <w:t>5</w:t>
      </w:r>
      <w:r>
        <w:rPr>
          <w:rFonts w:hint="eastAsia" w:ascii="仿宋_GB2312" w:eastAsia="仿宋_GB2312"/>
          <w:sz w:val="32"/>
          <w:szCs w:val="32"/>
        </w:rPr>
        <w:t>人</w:t>
      </w:r>
      <w:r>
        <w:rPr>
          <w:rFonts w:hint="eastAsia" w:ascii="仿宋_GB2312" w:eastAsia="仿宋_GB2312"/>
          <w:sz w:val="32"/>
          <w:szCs w:val="32"/>
          <w:lang w:eastAsia="zh-CN"/>
        </w:rPr>
        <w:t>；长治市高新区生态环境监测站实有</w:t>
      </w:r>
      <w:r>
        <w:rPr>
          <w:rFonts w:hint="eastAsia" w:ascii="仿宋_GB2312" w:eastAsia="仿宋_GB2312"/>
          <w:sz w:val="32"/>
          <w:szCs w:val="32"/>
          <w:lang w:val="en-US" w:eastAsia="zh-CN"/>
        </w:rPr>
        <w:t>11人；</w:t>
      </w:r>
      <w:r>
        <w:rPr>
          <w:rFonts w:hint="eastAsia" w:ascii="仿宋_GB2312" w:eastAsia="仿宋_GB2312"/>
          <w:sz w:val="32"/>
          <w:szCs w:val="32"/>
          <w:lang w:eastAsia="zh-CN"/>
        </w:rPr>
        <w:t>长治市高新区生态环境综合行政执法队实有</w:t>
      </w:r>
      <w:r>
        <w:rPr>
          <w:rFonts w:hint="eastAsia" w:ascii="仿宋_GB2312" w:eastAsia="仿宋_GB2312"/>
          <w:sz w:val="32"/>
          <w:szCs w:val="32"/>
          <w:lang w:val="en-US" w:eastAsia="zh-CN"/>
        </w:rPr>
        <w:t>12人。</w:t>
      </w:r>
      <w:r>
        <w:rPr>
          <w:rFonts w:hint="eastAsia" w:ascii="仿宋_GB2312" w:eastAsia="仿宋_GB2312"/>
          <w:sz w:val="32"/>
          <w:szCs w:val="32"/>
          <w:lang w:eastAsia="zh-CN"/>
        </w:rPr>
        <w:t>长治市高新区生态环境监测站和长治市高新区生态环境综合行政执法队没有独立的财务，</w:t>
      </w:r>
      <w:r>
        <w:rPr>
          <w:rFonts w:hint="eastAsia" w:ascii="仿宋_GB2312" w:eastAsia="仿宋_GB2312"/>
          <w:sz w:val="32"/>
          <w:szCs w:val="32"/>
          <w:lang w:val="en-US" w:eastAsia="zh-CN"/>
        </w:rPr>
        <w:t>由长治市生态环境局高新区分局统一管理。</w:t>
      </w:r>
    </w:p>
    <w:p>
      <w:pPr>
        <w:wordWrap/>
        <w:adjustRightInd/>
        <w:snapToGrid/>
        <w:spacing w:line="56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w:t>
      </w:r>
      <w:r>
        <w:rPr>
          <w:rFonts w:hint="eastAsia" w:ascii="黑体" w:hAnsi="黑体" w:eastAsia="黑体"/>
          <w:sz w:val="32"/>
          <w:szCs w:val="32"/>
          <w:lang w:val="en-US" w:eastAsia="zh-CN"/>
        </w:rPr>
        <w:t>22</w:t>
      </w:r>
      <w:r>
        <w:rPr>
          <w:rFonts w:hint="eastAsia" w:ascii="黑体" w:hAnsi="黑体" w:eastAsia="黑体"/>
          <w:sz w:val="32"/>
          <w:szCs w:val="32"/>
        </w:rPr>
        <w:t>年度部门预算情况说明</w:t>
      </w:r>
    </w:p>
    <w:p>
      <w:pPr>
        <w:wordWrap/>
        <w:adjustRightInd/>
        <w:snapToGrid/>
        <w:spacing w:line="560" w:lineRule="exact"/>
        <w:ind w:firstLine="636"/>
        <w:textAlignment w:val="auto"/>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20</w:t>
      </w:r>
      <w:r>
        <w:rPr>
          <w:rFonts w:hint="eastAsia" w:ascii="楷体" w:hAnsi="楷体" w:eastAsia="楷体"/>
          <w:sz w:val="32"/>
          <w:szCs w:val="32"/>
          <w:lang w:val="en-US" w:eastAsia="zh-CN"/>
        </w:rPr>
        <w:t>22</w:t>
      </w:r>
      <w:r>
        <w:rPr>
          <w:rFonts w:hint="eastAsia" w:ascii="楷体" w:hAnsi="楷体" w:eastAsia="楷体"/>
          <w:sz w:val="32"/>
          <w:szCs w:val="32"/>
        </w:rPr>
        <w:t>年度部门预算数据变动情况及原因</w:t>
      </w:r>
    </w:p>
    <w:p>
      <w:pPr>
        <w:widowControl/>
        <w:pBdr>
          <w:top w:val="none" w:color="auto" w:sz="0" w:space="0"/>
          <w:left w:val="none" w:color="auto" w:sz="0" w:space="0"/>
          <w:bottom w:val="none" w:color="auto" w:sz="0" w:space="0"/>
          <w:right w:val="none" w:color="auto" w:sz="0" w:space="0"/>
          <w:between w:val="none" w:color="auto" w:sz="0" w:space="0"/>
        </w:pBdr>
        <w:wordWrap/>
        <w:adjustRightInd/>
        <w:snapToGrid/>
        <w:spacing w:line="560" w:lineRule="exact"/>
        <w:ind w:firstLine="641"/>
        <w:textAlignment w:val="auto"/>
        <w:rPr>
          <w:rFonts w:hint="default" w:ascii="仿宋_GB2312" w:hAnsi="楷体" w:eastAsia="仿宋_GB2312"/>
          <w:color w:val="auto"/>
          <w:sz w:val="32"/>
          <w:szCs w:val="32"/>
          <w:lang w:val="en-US" w:eastAsia="zh-CN"/>
        </w:rPr>
      </w:pPr>
      <w:r>
        <w:rPr>
          <w:rFonts w:hint="eastAsia" w:ascii="仿宋_GB2312" w:hAnsi="宋体" w:eastAsia="仿宋_GB2312" w:cs="宋体"/>
          <w:color w:val="auto"/>
          <w:kern w:val="0"/>
          <w:sz w:val="32"/>
          <w:szCs w:val="32"/>
          <w:lang w:val="en-US" w:eastAsia="zh-CN"/>
        </w:rPr>
        <w:t>长治市生态环境局高新区分局2022年财政拨款总预算284.75万元，财政拨款预算与上年相比较增加17.26万元。增加6.5%</w:t>
      </w:r>
      <w:r>
        <w:rPr>
          <w:rFonts w:hint="default"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其中：（1）人员经费预算增加6.2%，原因是</w:t>
      </w:r>
      <w:r>
        <w:rPr>
          <w:rFonts w:hint="eastAsia" w:ascii="仿宋" w:hAnsi="仿宋" w:eastAsia="仿宋"/>
          <w:color w:val="auto"/>
          <w:sz w:val="32"/>
          <w:szCs w:val="32"/>
        </w:rPr>
        <w:t>工资上调、人员增加</w:t>
      </w:r>
      <w:r>
        <w:rPr>
          <w:rFonts w:hint="eastAsia" w:ascii="仿宋" w:hAnsi="仿宋" w:eastAsia="仿宋"/>
          <w:color w:val="auto"/>
          <w:sz w:val="32"/>
          <w:szCs w:val="32"/>
          <w:lang w:val="en-US" w:eastAsia="zh-CN"/>
        </w:rPr>
        <w:t>1个</w:t>
      </w:r>
      <w:r>
        <w:rPr>
          <w:rFonts w:hint="eastAsia" w:ascii="仿宋_GB2312" w:hAnsi="宋体" w:eastAsia="仿宋_GB2312" w:cs="宋体"/>
          <w:color w:val="auto"/>
          <w:kern w:val="0"/>
          <w:sz w:val="32"/>
          <w:szCs w:val="32"/>
          <w:lang w:val="en-US" w:eastAsia="zh-CN"/>
        </w:rPr>
        <w:t>；（2）</w:t>
      </w:r>
      <w:r>
        <w:rPr>
          <w:rFonts w:hint="eastAsia" w:ascii="仿宋_GB2312" w:hAnsi="楷体" w:eastAsia="仿宋_GB2312"/>
          <w:color w:val="auto"/>
          <w:sz w:val="32"/>
          <w:szCs w:val="32"/>
          <w:lang w:val="en-US" w:eastAsia="zh-CN"/>
        </w:rPr>
        <w:t>公用经费预算增加0.3%原因是人员增加1个。</w:t>
      </w:r>
    </w:p>
    <w:p>
      <w:pPr>
        <w:numPr>
          <w:ilvl w:val="0"/>
          <w:numId w:val="1"/>
        </w:numPr>
        <w:wordWrap/>
        <w:adjustRightInd/>
        <w:snapToGrid/>
        <w:spacing w:line="560" w:lineRule="exact"/>
        <w:ind w:left="0" w:leftChars="0" w:firstLine="640" w:firstLineChars="200"/>
        <w:textAlignment w:val="auto"/>
        <w:rPr>
          <w:rFonts w:hint="default" w:ascii="仿宋_GB2312" w:hAnsi="楷体" w:eastAsia="仿宋_GB2312"/>
          <w:sz w:val="32"/>
          <w:szCs w:val="32"/>
          <w:lang w:val="en-US" w:eastAsia="zh-CN"/>
        </w:rPr>
      </w:pPr>
      <w:r>
        <w:rPr>
          <w:rFonts w:hint="eastAsia" w:ascii="楷体" w:hAnsi="楷体" w:eastAsia="楷体"/>
          <w:sz w:val="32"/>
          <w:szCs w:val="32"/>
        </w:rPr>
        <w:t>“三公”经费增减变动原因说明</w:t>
      </w:r>
    </w:p>
    <w:p>
      <w:pPr>
        <w:widowControl/>
        <w:pBdr>
          <w:top w:val="none" w:color="auto" w:sz="0" w:space="0"/>
          <w:left w:val="none" w:color="auto" w:sz="0" w:space="0"/>
          <w:bottom w:val="none" w:color="auto" w:sz="0" w:space="0"/>
          <w:right w:val="none" w:color="auto" w:sz="0" w:space="0"/>
          <w:between w:val="none" w:color="auto" w:sz="0" w:space="0"/>
        </w:pBdr>
        <w:wordWrap/>
        <w:adjustRightInd/>
        <w:snapToGrid/>
        <w:spacing w:line="560" w:lineRule="exact"/>
        <w:ind w:firstLine="641"/>
        <w:textAlignment w:val="auto"/>
        <w:rPr>
          <w:rFonts w:hint="default" w:ascii="仿宋_GB2312" w:hAnsi="宋体" w:eastAsia="仿宋_GB2312" w:cs="宋体"/>
          <w:color w:val="auto"/>
          <w:kern w:val="0"/>
          <w:sz w:val="32"/>
          <w:szCs w:val="32"/>
          <w:lang w:eastAsia="zh-CN"/>
        </w:rPr>
      </w:pPr>
      <w:r>
        <w:rPr>
          <w:rFonts w:hint="eastAsia" w:ascii="仿宋_GB2312" w:hAnsi="楷体" w:eastAsia="仿宋_GB2312"/>
          <w:sz w:val="32"/>
          <w:szCs w:val="32"/>
          <w:lang w:val="en-US" w:eastAsia="zh-CN"/>
        </w:rPr>
        <w:t>2022年一般公共预算安排的“三公”经费预算0万元。</w:t>
      </w:r>
      <w:r>
        <w:rPr>
          <w:rFonts w:hint="eastAsia" w:ascii="仿宋_GB2312" w:hAnsi="宋体" w:eastAsia="仿宋_GB2312" w:cs="宋体"/>
          <w:color w:val="auto"/>
          <w:kern w:val="0"/>
          <w:sz w:val="32"/>
          <w:szCs w:val="32"/>
          <w:lang w:val="en-US" w:eastAsia="zh-CN"/>
        </w:rPr>
        <w:t>因公出国（境）费支出0万元，公务接待费支出0万元，公务接待0批次，0人次</w:t>
      </w:r>
      <w:r>
        <w:rPr>
          <w:rFonts w:hint="default"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公务用车购置支出0万元，公车运行费支出0万元，公车保有量0辆</w:t>
      </w:r>
      <w:r>
        <w:rPr>
          <w:rFonts w:hint="default" w:ascii="仿宋_GB2312" w:hAnsi="宋体" w:eastAsia="仿宋_GB2312" w:cs="宋体"/>
          <w:color w:val="auto"/>
          <w:kern w:val="0"/>
          <w:sz w:val="32"/>
          <w:szCs w:val="32"/>
          <w:lang w:eastAsia="zh-CN"/>
        </w:rPr>
        <w:t>，与上年度一致。业务用车</w:t>
      </w:r>
      <w:r>
        <w:rPr>
          <w:rFonts w:hint="eastAsia" w:ascii="仿宋_GB2312" w:hAnsi="宋体" w:eastAsia="仿宋_GB2312" w:cs="宋体"/>
          <w:color w:val="auto"/>
          <w:kern w:val="0"/>
          <w:sz w:val="32"/>
          <w:szCs w:val="32"/>
          <w:lang w:val="en-US" w:eastAsia="zh-CN"/>
        </w:rPr>
        <w:t>保有量4辆。</w:t>
      </w:r>
    </w:p>
    <w:p>
      <w:pPr>
        <w:pBdr>
          <w:top w:val="none" w:color="auto" w:sz="0" w:space="0"/>
          <w:left w:val="none" w:color="auto" w:sz="0" w:space="0"/>
          <w:bottom w:val="none" w:color="auto" w:sz="0" w:space="0"/>
          <w:right w:val="none" w:color="auto" w:sz="0" w:space="0"/>
          <w:between w:val="none" w:color="auto" w:sz="0" w:space="0"/>
        </w:pBdr>
        <w:wordWrap/>
        <w:adjustRightInd/>
        <w:snapToGrid/>
        <w:spacing w:line="560" w:lineRule="exact"/>
        <w:ind w:firstLine="636"/>
        <w:textAlignment w:val="auto"/>
        <w:rPr>
          <w:rFonts w:ascii="楷体" w:hAnsi="楷体" w:eastAsia="楷体"/>
          <w:sz w:val="32"/>
          <w:szCs w:val="32"/>
        </w:rPr>
      </w:pPr>
      <w:r>
        <w:rPr>
          <w:rFonts w:hint="eastAsia" w:ascii="楷体" w:hAnsi="楷体" w:eastAsia="楷体"/>
          <w:sz w:val="32"/>
          <w:szCs w:val="32"/>
        </w:rPr>
        <w:t>三、机关运行经费增减变动原因说明</w:t>
      </w:r>
    </w:p>
    <w:p>
      <w:pPr>
        <w:widowControl/>
        <w:pBdr>
          <w:top w:val="none" w:color="auto" w:sz="0" w:space="0"/>
          <w:left w:val="none" w:color="auto" w:sz="0" w:space="0"/>
          <w:bottom w:val="none" w:color="auto" w:sz="0" w:space="0"/>
          <w:right w:val="none" w:color="auto" w:sz="0" w:space="0"/>
          <w:between w:val="none" w:color="auto" w:sz="0" w:space="0"/>
        </w:pBdr>
        <w:wordWrap/>
        <w:adjustRightInd/>
        <w:snapToGrid/>
        <w:spacing w:line="560" w:lineRule="exact"/>
        <w:ind w:firstLine="641"/>
        <w:textAlignment w:val="auto"/>
        <w:rPr>
          <w:rFonts w:hint="default" w:ascii="仿宋_GB2312" w:hAnsi="楷体" w:eastAsia="仿宋_GB2312"/>
          <w:sz w:val="32"/>
          <w:szCs w:val="32"/>
          <w:lang w:val="en-US" w:eastAsia="zh-CN"/>
        </w:rPr>
      </w:pPr>
      <w:r>
        <w:rPr>
          <w:rFonts w:hint="eastAsia" w:ascii="仿宋_GB2312" w:hAnsi="楷体" w:eastAsia="仿宋_GB2312"/>
          <w:sz w:val="32"/>
          <w:szCs w:val="32"/>
          <w:lang w:val="en-US" w:eastAsia="zh-CN"/>
        </w:rPr>
        <w:t>2022年机关运行经费财政拨款预算23.8万元，比2021年预算增加0.7万元，增加3%，原因是:人员增加，公用经费相应增加</w:t>
      </w:r>
      <w:r>
        <w:rPr>
          <w:rFonts w:hint="eastAsia" w:ascii="仿宋_GB2312" w:hAnsi="宋体" w:eastAsia="仿宋_GB2312" w:cs="宋体"/>
          <w:color w:val="000000"/>
          <w:kern w:val="0"/>
          <w:sz w:val="32"/>
          <w:szCs w:val="32"/>
          <w:lang w:val="en-US" w:eastAsia="zh-CN"/>
        </w:rPr>
        <w:t>。</w:t>
      </w:r>
    </w:p>
    <w:p>
      <w:pPr>
        <w:wordWrap/>
        <w:adjustRightInd/>
        <w:snapToGrid/>
        <w:spacing w:line="560" w:lineRule="exact"/>
        <w:ind w:firstLine="636"/>
        <w:textAlignment w:val="auto"/>
        <w:rPr>
          <w:rFonts w:ascii="楷体" w:hAnsi="楷体" w:eastAsia="楷体"/>
          <w:sz w:val="32"/>
          <w:szCs w:val="32"/>
        </w:rPr>
      </w:pPr>
      <w:r>
        <w:rPr>
          <w:rFonts w:hint="eastAsia" w:ascii="楷体" w:hAnsi="楷体" w:eastAsia="楷体"/>
          <w:sz w:val="32"/>
          <w:szCs w:val="32"/>
        </w:rPr>
        <w:t>四、其他说明</w:t>
      </w:r>
    </w:p>
    <w:p>
      <w:pPr>
        <w:wordWrap/>
        <w:adjustRightInd/>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widowControl/>
        <w:pBdr>
          <w:top w:val="none" w:color="auto" w:sz="0" w:space="0"/>
          <w:left w:val="none" w:color="auto" w:sz="0" w:space="0"/>
          <w:bottom w:val="none" w:color="auto" w:sz="0" w:space="0"/>
          <w:right w:val="none" w:color="auto" w:sz="0" w:space="0"/>
          <w:between w:val="none" w:color="auto" w:sz="0" w:space="0"/>
        </w:pBdr>
        <w:wordWrap/>
        <w:adjustRightInd/>
        <w:snapToGrid/>
        <w:spacing w:line="560" w:lineRule="exact"/>
        <w:ind w:firstLine="640" w:firstLineChars="200"/>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2022年采购预算总额2.04万元，其中：政府采购货物预算2.04</w:t>
      </w:r>
      <w:bookmarkStart w:id="0" w:name="_GoBack"/>
      <w:bookmarkEnd w:id="0"/>
      <w:r>
        <w:rPr>
          <w:rFonts w:hint="eastAsia" w:ascii="仿宋_GB2312" w:hAnsi="楷体" w:eastAsia="仿宋_GB2312"/>
          <w:sz w:val="32"/>
          <w:szCs w:val="32"/>
          <w:lang w:val="en-US" w:eastAsia="zh-CN"/>
        </w:rPr>
        <w:t>万元。</w:t>
      </w:r>
    </w:p>
    <w:p>
      <w:pPr>
        <w:widowControl w:val="0"/>
        <w:wordWrap/>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）国有资产占有使用情况</w:t>
      </w:r>
    </w:p>
    <w:p>
      <w:pPr>
        <w:widowControl w:val="0"/>
        <w:wordWrap/>
        <w:adjustRightInd/>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1.车辆情况；</w:t>
      </w:r>
    </w:p>
    <w:p>
      <w:pPr>
        <w:widowControl w:val="0"/>
        <w:numPr>
          <w:numId w:val="0"/>
        </w:numPr>
        <w:wordWrap/>
        <w:adjustRightInd/>
        <w:snapToGrid/>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无</w:t>
      </w:r>
    </w:p>
    <w:p>
      <w:pPr>
        <w:widowControl w:val="0"/>
        <w:numPr>
          <w:numId w:val="0"/>
        </w:numPr>
        <w:wordWrap/>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房屋情况；</w:t>
      </w:r>
    </w:p>
    <w:p>
      <w:pPr>
        <w:widowControl w:val="0"/>
        <w:numPr>
          <w:numId w:val="0"/>
        </w:numPr>
        <w:wordWrap/>
        <w:adjustRightInd/>
        <w:snapToGrid/>
        <w:spacing w:line="560" w:lineRule="exact"/>
        <w:ind w:left="636" w:leftChars="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无</w:t>
      </w:r>
    </w:p>
    <w:p>
      <w:pPr>
        <w:widowControl w:val="0"/>
        <w:numPr>
          <w:numId w:val="0"/>
        </w:numPr>
        <w:wordWrap/>
        <w:adjustRightInd/>
        <w:snapToGrid/>
        <w:spacing w:line="560" w:lineRule="exact"/>
        <w:ind w:left="636"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其他国有资产占有使用情况。</w:t>
      </w:r>
    </w:p>
    <w:p>
      <w:pPr>
        <w:widowControl/>
        <w:pBdr>
          <w:top w:val="none" w:color="auto" w:sz="0" w:space="0"/>
          <w:left w:val="none" w:color="auto" w:sz="0" w:space="0"/>
          <w:bottom w:val="none" w:color="auto" w:sz="0" w:space="0"/>
          <w:right w:val="none" w:color="auto" w:sz="0" w:space="0"/>
          <w:between w:val="none" w:color="auto" w:sz="0" w:space="0"/>
        </w:pBdr>
        <w:wordWrap/>
        <w:adjustRightInd/>
        <w:snapToGrid/>
        <w:spacing w:line="560" w:lineRule="exact"/>
        <w:ind w:firstLine="641"/>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无</w:t>
      </w:r>
    </w:p>
    <w:p>
      <w:pPr>
        <w:widowControl w:val="0"/>
        <w:wordWrap/>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）绩效管理情况</w:t>
      </w:r>
    </w:p>
    <w:p>
      <w:pPr>
        <w:widowControl w:val="0"/>
        <w:numPr>
          <w:numId w:val="0"/>
        </w:numPr>
        <w:wordWrap/>
        <w:snapToGrid/>
        <w:spacing w:line="560" w:lineRule="exact"/>
        <w:ind w:firstLine="640" w:firstLineChars="2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无</w:t>
      </w:r>
    </w:p>
    <w:p>
      <w:pPr>
        <w:widowControl w:val="0"/>
        <w:numPr>
          <w:numId w:val="0"/>
        </w:numPr>
        <w:wordWrap/>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）非税收入和基金执收情况</w:t>
      </w:r>
    </w:p>
    <w:p>
      <w:pPr>
        <w:widowControl w:val="0"/>
        <w:numPr>
          <w:numId w:val="0"/>
        </w:numPr>
        <w:wordWrap/>
        <w:snapToGrid/>
        <w:spacing w:line="560" w:lineRule="exact"/>
        <w:textAlignment w:val="auto"/>
        <w:rPr>
          <w:rFonts w:hint="eastAsia" w:ascii="仿宋_GB2312" w:hAnsi="宋体" w:eastAsia="楷体_GB2312" w:cs="宋体"/>
          <w:color w:val="000000"/>
          <w:kern w:val="0"/>
          <w:sz w:val="32"/>
          <w:szCs w:val="32"/>
          <w:lang w:val="en-US" w:eastAsia="zh-CN"/>
        </w:rPr>
      </w:pPr>
      <w:r>
        <w:rPr>
          <w:rFonts w:hint="eastAsia" w:ascii="楷体_GB2312" w:hAnsi="楷体_GB2312" w:eastAsia="楷体_GB2312" w:cs="楷体_GB2312"/>
          <w:sz w:val="32"/>
          <w:szCs w:val="32"/>
          <w:lang w:val="en-US" w:eastAsia="zh-CN"/>
        </w:rPr>
        <w:t xml:space="preserve">    无</w:t>
      </w:r>
    </w:p>
    <w:p>
      <w:pPr>
        <w:widowControl w:val="0"/>
        <w:numPr>
          <w:ilvl w:val="0"/>
          <w:numId w:val="2"/>
        </w:numPr>
        <w:wordWrap/>
        <w:snapToGrid/>
        <w:spacing w:line="560" w:lineRule="exact"/>
        <w:ind w:firstLine="636"/>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numPr>
          <w:ilvl w:val="0"/>
          <w:numId w:val="3"/>
        </w:numPr>
        <w:wordWrap/>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政府购买服务指导性目录</w:t>
      </w:r>
    </w:p>
    <w:p>
      <w:pPr>
        <w:pStyle w:val="2"/>
        <w:numPr>
          <w:numId w:val="0"/>
        </w:numPr>
        <w:rPr>
          <w:rFonts w:hint="eastAsia"/>
        </w:rPr>
      </w:pPr>
    </w:p>
    <w:tbl>
      <w:tblPr>
        <w:tblW w:w="89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1016"/>
        <w:gridCol w:w="1449"/>
        <w:gridCol w:w="1821"/>
        <w:gridCol w:w="3789"/>
      </w:tblGrid>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代码</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一级目录</w:t>
            </w: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二级目录</w:t>
            </w: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三级目录</w:t>
            </w: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四级目录</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公共服务</w:t>
            </w: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公共安全服务</w:t>
            </w: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55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A0101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公共安全隐患排查治理服务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58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A010101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生态环境领域大气、水、土壤、核辐射等隐患排查治理服务</w:t>
            </w:r>
          </w:p>
        </w:tc>
      </w:tr>
      <w:tr>
        <w:trPr>
          <w:trHeight w:val="554"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A0104</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安全生态应急救援服务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A010401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生态环境领域应急救援服务</w:t>
            </w:r>
          </w:p>
        </w:tc>
      </w:tr>
      <w:tr>
        <w:trPr>
          <w:trHeight w:val="554"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生态保护和环境治理服务</w:t>
            </w: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56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生态资源调查与监测服务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0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A060101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自然保护地、生态保护红线调查与检测服务</w:t>
            </w:r>
          </w:p>
        </w:tc>
      </w:tr>
      <w:tr>
        <w:trPr>
          <w:trHeight w:val="34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A060102</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生物多样性和物种资源调查服务</w:t>
            </w:r>
          </w:p>
        </w:tc>
      </w:tr>
      <w:tr>
        <w:trPr>
          <w:trHeight w:val="36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A060103</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生物遗传资源、生物安全管理调查与监测服务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A060104</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生态遥感调查服务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A060105</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废弃电子产品处理监测服务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A0603</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碳汇监测与评估服务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A060301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碳汇卫星监测服务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A0604</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废弃物处理服务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A060401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固体和危险废物无害化处置服务</w:t>
            </w:r>
          </w:p>
        </w:tc>
      </w:tr>
      <w:tr>
        <w:trPr>
          <w:trHeight w:val="66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A0606</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环境保护成果交流与管理服务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A060601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生态环境保护技术成果推广服务</w:t>
            </w:r>
          </w:p>
        </w:tc>
      </w:tr>
      <w:tr>
        <w:trPr>
          <w:trHeight w:val="37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A060602</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生态环境保护成果宣传教育、科学普及服务</w:t>
            </w:r>
          </w:p>
        </w:tc>
      </w:tr>
      <w:tr>
        <w:trPr>
          <w:trHeight w:val="48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A0607</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农业农村环境治理服务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A060701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农村生活污水处理服务</w:t>
            </w:r>
          </w:p>
        </w:tc>
      </w:tr>
      <w:tr>
        <w:trPr>
          <w:trHeight w:val="56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A14</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灾害防治及应急管理服务</w:t>
            </w: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A1406</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灾情调查评估服务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4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A140601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重点核技术利用单位灾情调查评估服务</w:t>
            </w:r>
          </w:p>
        </w:tc>
      </w:tr>
      <w:tr>
        <w:trPr>
          <w:trHeight w:val="55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A15</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公共信息与宣传服务</w:t>
            </w: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A1502</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公共公益宣传服务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A150201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全国低碳日宣传服务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A150202</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生态环境法治公益宣传服务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A150203</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生物多样性宣传</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A150204</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全国环境日宣传服务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A150205</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自然保护地和生态保护红线宣传服务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A1503</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公共公益展览服务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A150301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绿色低碳展览</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行业管理服务</w:t>
            </w: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行业规划服务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A160101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移动源和噪声污染防治规划服务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A160102</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生态环境保护规划</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A160103</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危险废物收集利用处置设施规划</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A160104</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农村生态污水治理规划服务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A1603</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行业统计分析服务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A160301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环境统计调查分析服务</w:t>
            </w:r>
          </w:p>
        </w:tc>
      </w:tr>
      <w:tr>
        <w:trPr>
          <w:trHeight w:val="30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A160302</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化学品及国际履约污染物调查统计服务</w:t>
            </w:r>
          </w:p>
        </w:tc>
      </w:tr>
      <w:tr>
        <w:trPr>
          <w:trHeight w:val="30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A160303</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林业碳汇计量理论、方法与技术体系研究服务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A1605</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行业规范服务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4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A160501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大气、水、土壤污染治理行业规范服务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A160502</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“双碳”行业规范服务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A1606</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行业标准制修订服务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2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A160601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移动源和噪声污染防治标准制修订服务</w:t>
            </w:r>
          </w:p>
        </w:tc>
      </w:tr>
      <w:tr>
        <w:trPr>
          <w:trHeight w:val="48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A160602</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危险废物监督管理指南服务，固体废物污染控制标准规范制定服务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A160603</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应急预案和环境应急标准制修订服务</w:t>
            </w:r>
          </w:p>
        </w:tc>
      </w:tr>
      <w:tr>
        <w:trPr>
          <w:trHeight w:val="31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A160604</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大气、水、土壤污染治理行业标准制修订服务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A1608</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行业咨询服务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30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A160801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大气、水、土壤等环境污染治理行业咨询服务</w:t>
            </w:r>
          </w:p>
        </w:tc>
      </w:tr>
      <w:tr>
        <w:trPr>
          <w:trHeight w:val="33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技术型公共服务</w:t>
            </w: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494"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A1702</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技术评审鉴定评估服务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A170201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生态环境损害鉴定分析服务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A170202</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医疗废物补短板效果评估服务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A1703</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监测服务</w:t>
            </w:r>
          </w:p>
        </w:tc>
        <w:tc>
          <w:tcPr>
            <w:tcW w:w="378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A170301</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移动源和噪声污染检测服务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A170302</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挥发性有机物手工监测</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A170303</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环境空气质量监测服务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A170304</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水质委托监测服务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A170305</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污染源执法监测</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A170307</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入河排污口监测</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A170308</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土壤污染监测服务</w:t>
            </w:r>
          </w:p>
        </w:tc>
      </w:tr>
      <w:tr>
        <w:trPr>
          <w:trHeight w:val="300"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A170309</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自然保护区人类活动变化遥感监测服务</w:t>
            </w:r>
          </w:p>
        </w:tc>
      </w:tr>
      <w:tr>
        <w:trPr>
          <w:trHeight w:val="285" w:hRule="atLeast"/>
        </w:trPr>
        <w:tc>
          <w:tcPr>
            <w:tcW w:w="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A170310</w:t>
            </w:r>
          </w:p>
        </w:tc>
        <w:tc>
          <w:tcPr>
            <w:tcW w:w="1016"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449"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182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i w:val="0"/>
                <w:iCs w:val="0"/>
                <w:color w:val="000000"/>
                <w:sz w:val="18"/>
                <w:szCs w:val="18"/>
                <w:u w:val="none"/>
              </w:rPr>
            </w:pPr>
          </w:p>
        </w:tc>
        <w:tc>
          <w:tcPr>
            <w:tcW w:w="378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碳排放监测服务</w:t>
            </w:r>
          </w:p>
        </w:tc>
      </w:tr>
    </w:tbl>
    <w:p>
      <w:pPr>
        <w:widowControl w:val="0"/>
        <w:numPr>
          <w:numId w:val="0"/>
        </w:numPr>
        <w:wordWrap/>
        <w:adjustRightInd/>
        <w:snapToGrid/>
        <w:spacing w:line="200" w:lineRule="exact"/>
        <w:textAlignment w:val="auto"/>
        <w:rPr>
          <w:rFonts w:hint="eastAsia" w:ascii="楷体_GB2312" w:hAnsi="楷体_GB2312" w:eastAsia="楷体_GB2312" w:cs="楷体_GB2312"/>
          <w:sz w:val="32"/>
          <w:szCs w:val="32"/>
        </w:rPr>
      </w:pPr>
    </w:p>
    <w:p>
      <w:pPr>
        <w:widowControl w:val="0"/>
        <w:numPr>
          <w:numId w:val="0"/>
        </w:numPr>
        <w:wordWrap/>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其他</w:t>
      </w:r>
    </w:p>
    <w:p>
      <w:pPr>
        <w:widowControl w:val="0"/>
        <w:wordWrap/>
        <w:snapToGrid/>
        <w:spacing w:line="560" w:lineRule="exact"/>
        <w:ind w:firstLine="640" w:firstLineChars="200"/>
        <w:textAlignment w:val="auto"/>
        <w:rPr>
          <w:rFonts w:hint="eastAsia" w:ascii="仿宋" w:hAnsi="仿宋" w:eastAsia="仿宋" w:cs="仿宋"/>
          <w:color w:val="222222"/>
          <w:sz w:val="32"/>
          <w:szCs w:val="32"/>
          <w:lang w:val="en-US" w:eastAsia="zh-CN"/>
        </w:rPr>
      </w:pPr>
      <w:r>
        <w:rPr>
          <w:rFonts w:hint="eastAsia" w:ascii="仿宋" w:hAnsi="仿宋" w:eastAsia="仿宋" w:cs="仿宋"/>
          <w:color w:val="222222"/>
          <w:sz w:val="32"/>
          <w:szCs w:val="32"/>
          <w:lang w:val="en-US" w:eastAsia="zh-CN"/>
        </w:rPr>
        <w:t>本单位政府性基金预算收入预算表、支出预算表、国有资本经营预算收支预算表无相关内容。</w:t>
      </w:r>
    </w:p>
    <w:p>
      <w:pPr>
        <w:widowControl w:val="0"/>
        <w:wordWrap/>
        <w:snapToGrid/>
        <w:spacing w:line="56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名词解释（参考模板，</w:t>
      </w:r>
      <w:r>
        <w:rPr>
          <w:rFonts w:hint="eastAsia" w:ascii="黑体" w:hAnsi="黑体" w:eastAsia="黑体"/>
          <w:sz w:val="32"/>
          <w:szCs w:val="32"/>
          <w:lang w:val="en-US" w:eastAsia="zh-CN"/>
        </w:rPr>
        <w:t>请不要随意删减</w:t>
      </w:r>
      <w:r>
        <w:rPr>
          <w:rFonts w:hint="eastAsia" w:ascii="黑体" w:hAnsi="黑体" w:eastAsia="黑体"/>
          <w:sz w:val="32"/>
          <w:szCs w:val="32"/>
        </w:rPr>
        <w:t>）</w:t>
      </w:r>
    </w:p>
    <w:p>
      <w:pPr>
        <w:widowControl w:val="0"/>
        <w:wordWrap/>
        <w:autoSpaceDE w:val="0"/>
        <w:autoSpaceDN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（一）基本支出：</w:t>
      </w:r>
      <w:r>
        <w:rPr>
          <w:rFonts w:hint="eastAsia" w:ascii="仿宋" w:hAnsi="仿宋" w:eastAsia="仿宋" w:cs="仿宋"/>
          <w:sz w:val="32"/>
          <w:szCs w:val="32"/>
        </w:rPr>
        <w:t>指为保障机构正常运转、完成日常</w:t>
      </w:r>
    </w:p>
    <w:p>
      <w:pPr>
        <w:widowControl w:val="0"/>
        <w:wordWrap/>
        <w:autoSpaceDE w:val="0"/>
        <w:autoSpaceDN w:val="0"/>
        <w:adjustRightInd w:val="0"/>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工作任务而发生的人员支出和公用支出。</w:t>
      </w:r>
    </w:p>
    <w:p>
      <w:pPr>
        <w:widowControl w:val="0"/>
        <w:wordWrap/>
        <w:autoSpaceDE w:val="0"/>
        <w:autoSpaceDN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（二）项目支出：</w:t>
      </w:r>
      <w:r>
        <w:rPr>
          <w:rFonts w:hint="eastAsia" w:ascii="仿宋" w:hAnsi="仿宋" w:eastAsia="仿宋" w:cs="仿宋"/>
          <w:sz w:val="32"/>
          <w:szCs w:val="32"/>
        </w:rPr>
        <w:t>指在基本支出之外为完成特定行政任</w:t>
      </w:r>
    </w:p>
    <w:p>
      <w:pPr>
        <w:widowControl w:val="0"/>
        <w:wordWrap/>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务和事业发展目标所发生的支出。</w:t>
      </w:r>
    </w:p>
    <w:p>
      <w:pPr>
        <w:widowControl w:val="0"/>
        <w:wordWrap/>
        <w:autoSpaceDE w:val="0"/>
        <w:autoSpaceDN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（三）“三公”经费：</w:t>
      </w:r>
      <w:r>
        <w:rPr>
          <w:rFonts w:hint="eastAsia" w:ascii="仿宋" w:hAnsi="仿宋" w:eastAsia="仿宋" w:cs="仿宋"/>
          <w:sz w:val="32"/>
          <w:szCs w:val="32"/>
        </w:rPr>
        <w:t>指</w:t>
      </w:r>
      <w:r>
        <w:rPr>
          <w:rFonts w:hint="eastAsia" w:ascii="仿宋" w:hAnsi="仿宋" w:eastAsia="仿宋" w:cs="仿宋"/>
          <w:sz w:val="32"/>
          <w:szCs w:val="32"/>
          <w:lang w:eastAsia="zh-CN"/>
        </w:rPr>
        <w:t>市</w:t>
      </w:r>
      <w:r>
        <w:rPr>
          <w:rFonts w:hint="eastAsia" w:ascii="仿宋" w:hAnsi="仿宋" w:eastAsia="仿宋" w:cs="仿宋"/>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val="0"/>
        <w:wordWrap/>
        <w:autoSpaceDE w:val="0"/>
        <w:autoSpaceDN w:val="0"/>
        <w:adjustRightInd w:val="0"/>
        <w:snapToGrid/>
        <w:spacing w:line="560" w:lineRule="exact"/>
        <w:ind w:firstLine="640" w:firstLineChars="200"/>
        <w:textAlignment w:val="auto"/>
        <w:rPr>
          <w:rFonts w:hint="eastAsia" w:ascii="仿宋" w:hAnsi="仿宋" w:eastAsia="仿宋" w:cs="仿宋"/>
          <w:sz w:val="32"/>
          <w:szCs w:val="32"/>
        </w:rPr>
      </w:pPr>
      <w:r>
        <w:rPr>
          <w:rFonts w:hint="eastAsia" w:ascii="楷体_GB2312" w:hAnsi="楷体_GB2312" w:eastAsia="楷体_GB2312" w:cs="楷体_GB2312"/>
          <w:sz w:val="32"/>
          <w:szCs w:val="32"/>
        </w:rPr>
        <w:t>（四）机关运行经费：</w:t>
      </w:r>
      <w:r>
        <w:rPr>
          <w:rFonts w:hint="eastAsia" w:ascii="仿宋" w:hAnsi="仿宋" w:eastAsia="仿宋" w:cs="仿宋"/>
          <w:sz w:val="32"/>
          <w:szCs w:val="32"/>
        </w:rPr>
        <w:t>指行政单位和参照公务员法管理的事业单位使用一般公共预算安排的基本支出中的日常公用经费支出。</w:t>
      </w:r>
    </w:p>
    <w:p>
      <w:pPr>
        <w:widowControl w:val="0"/>
        <w:wordWrap/>
        <w:autoSpaceDE w:val="0"/>
        <w:autoSpaceDN w:val="0"/>
        <w:adjustRightInd w:val="0"/>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政府购买服务：</w:t>
      </w:r>
      <w:r>
        <w:rPr>
          <w:rFonts w:hint="eastAsia" w:ascii="仿宋" w:hAnsi="仿宋" w:eastAsia="仿宋" w:cs="仿宋"/>
          <w:sz w:val="32"/>
          <w:szCs w:val="32"/>
          <w:lang w:val="en-US" w:eastAsia="zh-CN"/>
        </w:rP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pPr>
        <w:widowControl w:val="0"/>
        <w:wordWrap/>
        <w:autoSpaceDE w:val="0"/>
        <w:autoSpaceDN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（六）一般公共预算：</w:t>
      </w:r>
      <w:r>
        <w:rPr>
          <w:rFonts w:hint="eastAsia" w:ascii="仿宋" w:hAnsi="仿宋" w:eastAsia="仿宋" w:cs="仿宋"/>
          <w:sz w:val="32"/>
          <w:szCs w:val="32"/>
          <w:lang w:val="en-US" w:eastAsia="zh-CN"/>
        </w:rPr>
        <w:t>是指以税收为主体的财政收入，安排用于保障和改善民生、推动经济社会发展、维护国家安全、维持国家机构正常运转等方面的收支预算。</w:t>
      </w:r>
    </w:p>
    <w:p>
      <w:pPr>
        <w:widowControl w:val="0"/>
        <w:wordWrap/>
        <w:autoSpaceDE w:val="0"/>
        <w:autoSpaceDN w:val="0"/>
        <w:adjustRightInd w:val="0"/>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（七）政府性基金预算：</w:t>
      </w:r>
      <w:r>
        <w:rPr>
          <w:rFonts w:hint="eastAsia" w:ascii="仿宋" w:hAnsi="仿宋" w:eastAsia="仿宋" w:cs="仿宋"/>
          <w:sz w:val="32"/>
          <w:szCs w:val="32"/>
          <w:lang w:val="en-US" w:eastAsia="zh-CN"/>
        </w:rPr>
        <w:t>是对依照法律、行政法规的规定在一定期限内向特定对象征收、收取或者以其他方式筹集的资金，专项用于特定公共事业发展的收支预算。</w:t>
      </w:r>
    </w:p>
    <w:p>
      <w:pPr>
        <w:pStyle w:val="2"/>
        <w:ind w:left="0" w:leftChars="0" w:firstLine="640" w:firstLineChars="200"/>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（八）国有资本经营预算：</w:t>
      </w:r>
      <w:r>
        <w:rPr>
          <w:rFonts w:hint="eastAsia" w:ascii="仿宋" w:hAnsi="仿宋" w:eastAsia="仿宋" w:cs="仿宋"/>
          <w:sz w:val="32"/>
          <w:szCs w:val="32"/>
          <w:lang w:val="en-US" w:eastAsia="zh-CN"/>
        </w:rPr>
        <w:t>是对国有资本收益作出支出安排的收支预算。</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kern w:val="2"/>
          <w:sz w:val="32"/>
          <w:szCs w:val="32"/>
          <w:lang w:val="en-US" w:eastAsia="zh-CN" w:bidi="ar-SA"/>
        </w:rPr>
        <w:t>财政专户管理资金：</w:t>
      </w:r>
      <w:r>
        <w:rPr>
          <w:rFonts w:hint="eastAsia" w:ascii="仿宋" w:hAnsi="仿宋" w:eastAsia="仿宋" w:cs="仿宋"/>
          <w:kern w:val="2"/>
          <w:sz w:val="32"/>
          <w:szCs w:val="32"/>
          <w:lang w:val="en-US" w:eastAsia="zh-CN" w:bidi="ar-SA"/>
        </w:rPr>
        <w:t>专指教育收费，包括目前在财政专户管理的高中以上学费、住宿费，高校委托培养费，党校收费，教育考试考务费，函大、电大、夜大及短训班培训费等。</w:t>
      </w:r>
    </w:p>
    <w:p>
      <w:pPr>
        <w:pStyle w:val="2"/>
        <w:ind w:left="0" w:leftChars="0" w:firstLine="640" w:firstLineChars="200"/>
        <w:rPr>
          <w:rFonts w:hint="eastAsia" w:ascii="仿宋" w:hAnsi="仿宋" w:eastAsia="仿宋" w:cs="仿宋"/>
          <w:kern w:val="2"/>
          <w:sz w:val="32"/>
          <w:szCs w:val="32"/>
          <w:lang w:val="en-US" w:eastAsia="zh-CN" w:bidi="ar-SA"/>
        </w:rPr>
      </w:pPr>
      <w:r>
        <w:rPr>
          <w:rFonts w:hint="eastAsia" w:ascii="楷体_GB2312" w:hAnsi="楷体_GB2312" w:eastAsia="楷体_GB2312" w:cs="楷体_GB2312"/>
          <w:kern w:val="2"/>
          <w:sz w:val="32"/>
          <w:szCs w:val="32"/>
          <w:lang w:val="en-US" w:eastAsia="zh-CN" w:bidi="ar-SA"/>
        </w:rPr>
        <w:t>（十）单位资金：</w:t>
      </w:r>
      <w:r>
        <w:rPr>
          <w:rFonts w:hint="eastAsia" w:ascii="仿宋" w:hAnsi="仿宋" w:eastAsia="仿宋" w:cs="仿宋"/>
          <w:kern w:val="2"/>
          <w:sz w:val="32"/>
          <w:szCs w:val="32"/>
          <w:lang w:val="en-US" w:eastAsia="zh-CN" w:bidi="ar-SA"/>
        </w:rPr>
        <w:t>是指除政府预算资金和财政专户管理资金以外的资金，包括事业收入、事业单位经营收入、上级补助收入、附属单位上缴收入、其他收入。</w:t>
      </w:r>
    </w:p>
    <w:p>
      <w:pPr>
        <w:pStyle w:val="2"/>
        <w:ind w:left="0" w:leftChars="0" w:firstLine="640" w:firstLineChars="200"/>
        <w:rPr>
          <w:rFonts w:hint="eastAsia" w:ascii="仿宋" w:hAnsi="仿宋" w:eastAsia="仿宋" w:cs="仿宋"/>
          <w:lang w:val="en-US" w:eastAsia="zh-CN"/>
        </w:rPr>
      </w:pPr>
      <w:r>
        <w:rPr>
          <w:rFonts w:hint="eastAsia" w:ascii="楷体_GB2312" w:hAnsi="楷体_GB2312" w:eastAsia="楷体_GB2312" w:cs="楷体_GB2312"/>
          <w:kern w:val="2"/>
          <w:sz w:val="32"/>
          <w:szCs w:val="32"/>
          <w:lang w:val="en-US" w:eastAsia="zh-CN" w:bidi="ar-SA"/>
        </w:rPr>
        <w:t>（十一）上年结转：</w:t>
      </w:r>
      <w:r>
        <w:rPr>
          <w:rFonts w:hint="eastAsia" w:ascii="仿宋" w:hAnsi="仿宋" w:eastAsia="仿宋" w:cs="仿宋"/>
          <w:kern w:val="2"/>
          <w:sz w:val="32"/>
          <w:szCs w:val="32"/>
          <w:lang w:val="en-US" w:eastAsia="zh-CN" w:bidi="ar-SA"/>
        </w:rPr>
        <w:t>指以前年度预算安排、结转到本年仍按原规定用途继续使用的资金。</w:t>
      </w:r>
    </w:p>
    <w:p>
      <w:pPr>
        <w:ind w:firstLine="640"/>
        <w:rPr>
          <w:rFonts w:hint="default"/>
          <w:lang w:val="en-US" w:eastAsia="zh-CN"/>
        </w:rPr>
      </w:pPr>
    </w:p>
    <w:p>
      <w:pPr>
        <w:widowControl w:val="0"/>
        <w:wordWrap/>
        <w:snapToGrid/>
        <w:spacing w:line="560" w:lineRule="exact"/>
        <w:textAlignment w:val="auto"/>
        <w:rPr>
          <w:rFonts w:hint="eastAsia" w:ascii="楷体_GB2312" w:hAnsi="楷体_GB2312" w:eastAsia="楷体_GB2312" w:cs="楷体_GB2312"/>
          <w:sz w:val="32"/>
          <w:szCs w:val="32"/>
        </w:rPr>
      </w:pPr>
    </w:p>
    <w:p>
      <w:pPr>
        <w:widowControl w:val="0"/>
        <w:wordWrap/>
        <w:snapToGrid/>
        <w:spacing w:line="560" w:lineRule="exact"/>
        <w:ind w:firstLine="3520" w:firstLineChars="1100"/>
        <w:textAlignment w:val="auto"/>
        <w:rPr>
          <w:rFonts w:hint="eastAsia" w:ascii="楷体_GB2312" w:hAnsi="楷体_GB2312" w:eastAsia="楷体_GB2312" w:cs="楷体_GB2312"/>
          <w:sz w:val="32"/>
          <w:szCs w:val="32"/>
          <w:lang w:val="en-US" w:eastAsia="zh-CN"/>
        </w:rPr>
      </w:pPr>
    </w:p>
    <w:p>
      <w:pPr>
        <w:widowControl w:val="0"/>
        <w:wordWrap/>
        <w:snapToGrid/>
        <w:spacing w:line="560" w:lineRule="exact"/>
        <w:ind w:firstLine="3520" w:firstLineChars="1100"/>
        <w:textAlignment w:val="auto"/>
        <w:rPr>
          <w:rFonts w:hint="eastAsia" w:ascii="楷体_GB2312" w:hAnsi="楷体_GB2312" w:eastAsia="楷体_GB2312" w:cs="楷体_GB2312"/>
          <w:sz w:val="32"/>
          <w:szCs w:val="32"/>
          <w:lang w:val="en-US" w:eastAsia="zh-CN"/>
        </w:rPr>
      </w:pPr>
    </w:p>
    <w:p>
      <w:pPr>
        <w:widowControl w:val="0"/>
        <w:wordWrap/>
        <w:snapToGrid/>
        <w:spacing w:line="560" w:lineRule="exact"/>
        <w:ind w:firstLine="3520" w:firstLineChars="11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长治市生态环境局高新区分局</w:t>
      </w:r>
    </w:p>
    <w:p>
      <w:pPr>
        <w:widowControl w:val="0"/>
        <w:wordWrap/>
        <w:snapToGrid/>
        <w:spacing w:line="560" w:lineRule="exac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2022年3月21日</w:t>
      </w:r>
    </w:p>
    <w:p/>
    <w:sectPr>
      <w:footerReference r:id="rId4" w:type="default"/>
      <w:footerReference r:id="rId5"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Pr>
    <w:r>
      <w:rPr>
        <w:rFonts w:ascii="Calibri" w:hAnsi="Calibri" w:eastAsia="宋体" w:cs="黑体"/>
        <w:kern w:val="2"/>
        <w:sz w:val="18"/>
        <w:szCs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rPr>
                    <w:rStyle w:val="7"/>
                  </w:rPr>
                </w:pPr>
                <w:r>
                  <w:fldChar w:fldCharType="begin"/>
                </w:r>
                <w:r>
                  <w:rPr>
                    <w:rStyle w:val="7"/>
                  </w:rPr>
                  <w:instrText xml:space="preserve">PAGE  </w:instrText>
                </w:r>
                <w:r>
                  <w:fldChar w:fldCharType="separate"/>
                </w:r>
                <w:r>
                  <w:rPr>
                    <w:rStyle w:val="7"/>
                  </w:rPr>
                  <w:t>1</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framePr w:wrap="around" w:hAnchor="margin" w:vAnchor="text" w:xAlign="center" w:y="1"/>
      <w:rPr>
        <w:rStyle w:val="7"/>
      </w:rPr>
    </w:pPr>
    <w:r>
      <w:fldChar w:fldCharType="begin"/>
    </w:r>
    <w:r>
      <w:rPr>
        <w:rStyle w:val="7"/>
      </w:rPr>
      <w:instrText xml:space="preserve">PAGE  </w:instrText>
    </w:r>
    <w:r>
      <w:fldChar w:fldCharType="separate"/>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69065488">
    <w:nsid w:val="6F67AD10"/>
    <w:multiLevelType w:val="singleLevel"/>
    <w:tmpl w:val="6F67AD10"/>
    <w:lvl w:ilvl="0" w:tentative="1">
      <w:start w:val="2"/>
      <w:numFmt w:val="chineseCounting"/>
      <w:suff w:val="nothing"/>
      <w:lvlText w:val="%1、"/>
      <w:lvlJc w:val="left"/>
      <w:rPr>
        <w:rFonts w:hint="eastAsia"/>
      </w:rPr>
    </w:lvl>
  </w:abstractNum>
  <w:abstractNum w:abstractNumId="1490319037">
    <w:nsid w:val="58D476BD"/>
    <w:multiLevelType w:val="singleLevel"/>
    <w:tmpl w:val="58D476BD"/>
    <w:lvl w:ilvl="0" w:tentative="1">
      <w:start w:val="5"/>
      <w:numFmt w:val="chineseCounting"/>
      <w:suff w:val="space"/>
      <w:lvlText w:val="（%1）"/>
      <w:lvlJc w:val="left"/>
    </w:lvl>
  </w:abstractNum>
  <w:abstractNum w:abstractNumId="4110315030">
    <w:nsid w:val="F4FE6E16"/>
    <w:multiLevelType w:val="singleLevel"/>
    <w:tmpl w:val="F4FE6E16"/>
    <w:lvl w:ilvl="0" w:tentative="1">
      <w:start w:val="1"/>
      <w:numFmt w:val="decimal"/>
      <w:suff w:val="nothing"/>
      <w:lvlText w:val="%1、"/>
      <w:lvlJc w:val="left"/>
    </w:lvl>
  </w:abstractNum>
  <w:num w:numId="1">
    <w:abstractNumId w:val="1869065488"/>
  </w:num>
  <w:num w:numId="2">
    <w:abstractNumId w:val="1490319037"/>
  </w:num>
  <w:num w:numId="3">
    <w:abstractNumId w:val="41103150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unhideWhenUsed/>
    <w:qFormat/>
    <w:uiPriority w:val="0"/>
    <w:pPr>
      <w:tabs>
        <w:tab w:val="center" w:pos="4153"/>
        <w:tab w:val="right" w:pos="8306"/>
      </w:tabs>
      <w:snapToGrid w:val="0"/>
      <w:jc w:val="left"/>
    </w:pPr>
    <w:rPr>
      <w:rFonts w:ascii="Calibri" w:hAnsi="Calibri" w:eastAsia="宋体" w:cs="黑体"/>
      <w:sz w:val="18"/>
      <w:szCs w:val="18"/>
    </w:rPr>
  </w:style>
  <w:style w:type="character" w:styleId="7">
    <w:name w:val="page number"/>
    <w:basedOn w:val="6"/>
    <w:qFormat/>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2721</Words>
  <Characters>3126</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2022-03-29T02:41:00Z</dcterms:created>
  <dc:creator>Administrator</dc:creator>
  <cp:lastModifiedBy>Administrator</cp:lastModifiedBy>
  <dcterms:modified xsi:type="dcterms:W3CDTF">2022-03-29T08:40:05Z</dcterms:modified>
  <dc:title>长治市生态环境局高新区分局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2194798DE3FA4F8BB93298D94D5320F3</vt:lpwstr>
  </property>
</Properties>
</file>