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长治市生态环境局（</w:t>
      </w:r>
      <w:r>
        <w:rPr>
          <w:rFonts w:hint="eastAsia" w:ascii="仿宋" w:hAnsi="仿宋" w:eastAsia="仿宋" w:cs="仿宋"/>
          <w:b/>
          <w:bCs/>
          <w:sz w:val="36"/>
          <w:szCs w:val="36"/>
          <w:lang w:val="en-US" w:eastAsia="zh-CN"/>
        </w:rPr>
        <w:t>本级</w:t>
      </w:r>
      <w:r>
        <w:rPr>
          <w:rFonts w:hint="eastAsia" w:ascii="仿宋" w:hAnsi="仿宋" w:eastAsia="仿宋" w:cs="仿宋"/>
          <w:b/>
          <w:bCs/>
          <w:sz w:val="36"/>
          <w:szCs w:val="36"/>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rPr>
        <w:t>20</w:t>
      </w:r>
      <w:r>
        <w:rPr>
          <w:rFonts w:hint="eastAsia" w:ascii="仿宋" w:hAnsi="仿宋" w:eastAsia="仿宋" w:cs="仿宋"/>
          <w:b/>
          <w:bCs/>
          <w:sz w:val="36"/>
          <w:szCs w:val="36"/>
          <w:lang w:val="en-US" w:eastAsia="zh-CN"/>
        </w:rPr>
        <w:t>22</w:t>
      </w:r>
      <w:r>
        <w:rPr>
          <w:rFonts w:hint="eastAsia" w:ascii="仿宋" w:hAnsi="仿宋" w:eastAsia="仿宋" w:cs="仿宋"/>
          <w:b/>
          <w:bCs/>
          <w:sz w:val="36"/>
          <w:szCs w:val="36"/>
        </w:rPr>
        <w:t>年度部门预算</w:t>
      </w:r>
      <w:r>
        <w:rPr>
          <w:rFonts w:hint="eastAsia" w:ascii="仿宋" w:hAnsi="仿宋" w:eastAsia="仿宋" w:cs="仿宋"/>
          <w:b/>
          <w:bCs/>
          <w:sz w:val="36"/>
          <w:szCs w:val="36"/>
          <w:lang w:eastAsia="zh-CN"/>
        </w:rPr>
        <w:t>相关说明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第一部分  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一、本</w:t>
      </w:r>
      <w:r>
        <w:rPr>
          <w:rFonts w:hint="eastAsia" w:ascii="楷体" w:hAnsi="楷体" w:eastAsia="楷体"/>
          <w:sz w:val="32"/>
          <w:szCs w:val="32"/>
          <w:lang w:val="en-US" w:eastAsia="zh-CN"/>
        </w:rPr>
        <w:t>单位</w:t>
      </w:r>
      <w:r>
        <w:rPr>
          <w:rFonts w:hint="eastAsia" w:ascii="楷体" w:hAnsi="楷体" w:eastAsia="楷体"/>
          <w:sz w:val="32"/>
          <w:szCs w:val="32"/>
        </w:rPr>
        <w:t>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sz w:val="32"/>
          <w:szCs w:val="32"/>
        </w:rPr>
      </w:pPr>
      <w:r>
        <w:rPr>
          <w:rFonts w:hint="eastAsia" w:ascii="仿宋" w:hAnsi="仿宋" w:eastAsia="仿宋"/>
          <w:sz w:val="32"/>
          <w:szCs w:val="32"/>
        </w:rPr>
        <w:t>长治市生态环境局是市政府的工作部门，贯彻落实中央和省委、市委关于生态环境保护工作的方针政策和决策部署，在履行职责过程中坚持和加强党对生态环境保护工作的集中统一领导。主要职责是：</w:t>
      </w:r>
      <w:r>
        <w:rPr>
          <w:rFonts w:hint="eastAsia" w:ascii="仿宋_GB2312" w:hAnsi="宋体" w:eastAsia="仿宋_GB2312" w:cs="宋体"/>
          <w:color w:val="000000"/>
          <w:kern w:val="0"/>
          <w:sz w:val="32"/>
          <w:szCs w:val="32"/>
        </w:rPr>
        <w:t>贯彻执行国家、省生态环境政策、规划、法律法规和规章</w:t>
      </w:r>
      <w:r>
        <w:rPr>
          <w:rFonts w:hint="eastAsia" w:ascii="仿宋" w:hAnsi="仿宋" w:eastAsia="仿宋"/>
          <w:sz w:val="32"/>
          <w:szCs w:val="32"/>
        </w:rPr>
        <w:t>；</w:t>
      </w:r>
      <w:r>
        <w:rPr>
          <w:rFonts w:hint="eastAsia" w:ascii="仿宋_GB2312" w:hAnsi="宋体" w:eastAsia="仿宋_GB2312" w:cs="宋体"/>
          <w:color w:val="000000"/>
          <w:kern w:val="0"/>
          <w:sz w:val="32"/>
          <w:szCs w:val="32"/>
        </w:rPr>
        <w:t>负责重大生态环境问题的统筹协调和监督管理；负责监督管理减排目标的落实；负责提出生态环境保护领域固定资产投资规模和方向、市财政性资金安排意见，按规定权限审批、核准规划内和年度计划规模内固定资产投资项目，配合有关部门做好组织实施和监督工作；负责全市环境污染防治的监督管理；指导协调和监督全市生态保护修复工作；负责全市核与辐射安全的监督管理；负责生态环境准入的监督管理；负责全市生态环境监测工作；组织开展应对气候变化工作；组织开展全市生态环境保护监察；统一负责全市生态环境监督执法；组织指导和协调开展全市生态环境宣传教育工作，制定并组织实施全市生态环境保护宣传教育纲要，推动社会组织和公众参与生态环境保护；开展全市生态环境对外合作交流，研究提出对外合作中有关问题的建议，组织协调、承办生态环境国际条约中有关本市的履约工作；完成市委、市人民政府交办的其他任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机构设置情况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1"/>
        <w:textAlignment w:val="auto"/>
        <w:rPr>
          <w:rFonts w:hint="default" w:ascii="楷体" w:hAnsi="楷体" w:eastAsia="楷体"/>
          <w:sz w:val="32"/>
          <w:szCs w:val="32"/>
          <w:lang w:val="en-US" w:eastAsia="zh-CN"/>
        </w:rPr>
      </w:pPr>
      <w:r>
        <w:rPr>
          <w:rFonts w:hint="eastAsia" w:ascii="仿宋" w:hAnsi="仿宋" w:eastAsia="仿宋" w:cs="仿宋"/>
          <w:kern w:val="1"/>
          <w:sz w:val="32"/>
          <w:szCs w:val="32"/>
          <w:lang w:eastAsia="zh-CN"/>
        </w:rPr>
        <w:t>长治市生态环境局</w:t>
      </w:r>
      <w:r>
        <w:rPr>
          <w:rFonts w:hint="eastAsia" w:ascii="仿宋" w:hAnsi="仿宋" w:eastAsia="仿宋" w:cs="仿宋"/>
          <w:kern w:val="1"/>
          <w:sz w:val="32"/>
          <w:szCs w:val="32"/>
          <w:lang w:val="en-US" w:eastAsia="zh-CN"/>
        </w:rPr>
        <w:t>机关</w:t>
      </w:r>
      <w:r>
        <w:rPr>
          <w:rFonts w:ascii="仿宋" w:hAnsi="仿宋" w:eastAsia="仿宋" w:cs="仿宋"/>
          <w:kern w:val="1"/>
          <w:sz w:val="32"/>
          <w:szCs w:val="32"/>
        </w:rPr>
        <w:t>管理机构</w:t>
      </w:r>
      <w:r>
        <w:rPr>
          <w:rFonts w:hint="eastAsia" w:ascii="仿宋_GB2312" w:hAnsi="仿宋_GB2312" w:eastAsia="仿宋_GB2312" w:cs="仿宋_GB2312"/>
          <w:sz w:val="32"/>
          <w:szCs w:val="32"/>
        </w:rPr>
        <w:t>现设</w:t>
      </w:r>
      <w:r>
        <w:rPr>
          <w:rFonts w:hint="eastAsia" w:ascii="仿宋_GB2312" w:hAnsi="仿宋_GB2312" w:eastAsia="仿宋_GB2312" w:cs="仿宋_GB2312"/>
          <w:color w:val="000000"/>
          <w:kern w:val="0"/>
          <w:sz w:val="32"/>
          <w:szCs w:val="32"/>
          <w:lang w:val="en-US" w:eastAsia="zh-CN" w:bidi="ar"/>
        </w:rPr>
        <w:t>办公室（宣传教育科、机关党办）、生态环境保护监察办公室(综合科)、法规与标准科、编制人事科、科技与财务科(内审科)、自然生态保护科、水生态环境科、大气环境科、土壤生态环境科、环境影响评价与排放管理科(行政审批科)、应急信访科</w:t>
      </w:r>
      <w:r>
        <w:rPr>
          <w:rFonts w:hint="eastAsia" w:ascii="仿宋_GB2312" w:eastAsia="仿宋_GB2312"/>
          <w:sz w:val="32"/>
          <w:szCs w:val="32"/>
        </w:rPr>
        <w:t>等1</w:t>
      </w:r>
      <w:r>
        <w:rPr>
          <w:rFonts w:hint="eastAsia" w:ascii="仿宋_GB2312" w:eastAsia="仿宋_GB2312"/>
          <w:sz w:val="32"/>
          <w:szCs w:val="32"/>
          <w:lang w:val="en-US" w:eastAsia="zh-CN"/>
        </w:rPr>
        <w:t>1</w:t>
      </w:r>
      <w:r>
        <w:rPr>
          <w:rFonts w:hint="eastAsia" w:ascii="仿宋_GB2312" w:eastAsia="仿宋_GB2312"/>
          <w:sz w:val="32"/>
          <w:szCs w:val="32"/>
        </w:rPr>
        <w:t>个职能科室</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局机关</w:t>
      </w:r>
      <w:r>
        <w:rPr>
          <w:rFonts w:hint="eastAsia" w:ascii="仿宋_GB2312" w:hAnsi="仿宋_GB2312" w:eastAsia="仿宋_GB2312" w:cs="仿宋_GB2312"/>
          <w:color w:val="000000"/>
          <w:kern w:val="0"/>
          <w:sz w:val="32"/>
          <w:szCs w:val="32"/>
          <w:lang w:val="en-US" w:eastAsia="zh-CN" w:bidi="ar"/>
        </w:rPr>
        <w:t>核定行政编制25名，</w:t>
      </w:r>
      <w:r>
        <w:rPr>
          <w:rFonts w:hint="eastAsia" w:ascii="仿宋_GB2312" w:eastAsia="仿宋_GB2312"/>
          <w:sz w:val="32"/>
          <w:szCs w:val="32"/>
        </w:rPr>
        <w:t>现有</w:t>
      </w:r>
      <w:r>
        <w:rPr>
          <w:rFonts w:hint="eastAsia" w:ascii="仿宋_GB2312" w:eastAsia="仿宋_GB2312"/>
          <w:sz w:val="32"/>
          <w:szCs w:val="32"/>
          <w:lang w:val="en-US" w:eastAsia="zh-CN"/>
        </w:rPr>
        <w:t>在职在编</w:t>
      </w:r>
      <w:r>
        <w:rPr>
          <w:rFonts w:hint="eastAsia" w:ascii="仿宋_GB2312" w:eastAsia="仿宋_GB2312"/>
          <w:sz w:val="32"/>
          <w:szCs w:val="32"/>
        </w:rPr>
        <w:t>干部职工共</w:t>
      </w:r>
      <w:r>
        <w:rPr>
          <w:rFonts w:hint="eastAsia" w:ascii="仿宋_GB2312" w:eastAsia="仿宋_GB2312"/>
          <w:sz w:val="32"/>
          <w:szCs w:val="32"/>
          <w:lang w:val="en-US" w:eastAsia="zh-CN"/>
        </w:rPr>
        <w:t>21</w:t>
      </w:r>
      <w:r>
        <w:rPr>
          <w:rFonts w:hint="eastAsia" w:ascii="仿宋_GB2312" w:eastAsia="仿宋_GB2312"/>
          <w:sz w:val="32"/>
          <w:szCs w:val="32"/>
        </w:rPr>
        <w:t>人，</w:t>
      </w:r>
      <w:r>
        <w:rPr>
          <w:rFonts w:hint="eastAsia" w:ascii="仿宋_GB2312" w:eastAsia="仿宋_GB2312"/>
          <w:sz w:val="32"/>
          <w:szCs w:val="32"/>
          <w:lang w:val="en-US" w:eastAsia="zh-CN"/>
        </w:rPr>
        <w:t>本科</w:t>
      </w:r>
      <w:r>
        <w:rPr>
          <w:rFonts w:hint="eastAsia" w:ascii="仿宋_GB2312" w:eastAsia="仿宋_GB2312"/>
          <w:sz w:val="32"/>
          <w:szCs w:val="32"/>
        </w:rPr>
        <w:t>以上学历人员占到</w:t>
      </w:r>
      <w:r>
        <w:rPr>
          <w:rFonts w:hint="eastAsia" w:ascii="仿宋_GB2312" w:eastAsia="仿宋_GB2312"/>
          <w:sz w:val="32"/>
          <w:szCs w:val="32"/>
          <w:lang w:val="en-US" w:eastAsia="zh-CN"/>
        </w:rPr>
        <w:t>100</w:t>
      </w:r>
      <w:r>
        <w:rPr>
          <w:rFonts w:hint="eastAsia" w:ascii="仿宋_GB2312" w:eastAsia="仿宋_GB2312"/>
          <w:sz w:val="32"/>
          <w:szCs w:val="32"/>
        </w:rPr>
        <w:t>％以上。</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w:t>
      </w:r>
      <w:r>
        <w:rPr>
          <w:rFonts w:hint="eastAsia" w:ascii="黑体" w:hAnsi="黑体" w:eastAsia="黑体"/>
          <w:sz w:val="32"/>
          <w:szCs w:val="32"/>
          <w:lang w:val="en-US" w:eastAsia="zh-CN"/>
        </w:rPr>
        <w:t>22</w:t>
      </w:r>
      <w:r>
        <w:rPr>
          <w:rFonts w:hint="eastAsia" w:ascii="黑体" w:hAnsi="黑体" w:eastAsia="黑体"/>
          <w:sz w:val="32"/>
          <w:szCs w:val="32"/>
        </w:rPr>
        <w:t>年度部门预算情况说明</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20</w:t>
      </w:r>
      <w:r>
        <w:rPr>
          <w:rFonts w:hint="eastAsia" w:ascii="楷体" w:hAnsi="楷体" w:eastAsia="楷体"/>
          <w:sz w:val="32"/>
          <w:szCs w:val="32"/>
          <w:lang w:val="en-US" w:eastAsia="zh-CN"/>
        </w:rPr>
        <w:t>22</w:t>
      </w:r>
      <w:r>
        <w:rPr>
          <w:rFonts w:hint="eastAsia" w:ascii="楷体" w:hAnsi="楷体" w:eastAsia="楷体"/>
          <w:sz w:val="32"/>
          <w:szCs w:val="32"/>
        </w:rPr>
        <w:t>年度部门预算数据变动情况及原因</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1"/>
        <w:textAlignment w:val="auto"/>
        <w:rPr>
          <w:rFonts w:hint="default" w:ascii="仿宋_GB2312" w:hAnsi="楷体" w:eastAsia="仿宋_GB2312"/>
          <w:sz w:val="32"/>
          <w:szCs w:val="32"/>
          <w:lang w:val="en-US" w:eastAsia="zh-CN"/>
        </w:rPr>
      </w:pPr>
      <w:r>
        <w:rPr>
          <w:rFonts w:hint="eastAsia" w:ascii="仿宋_GB2312" w:hAnsi="宋体" w:eastAsia="仿宋_GB2312" w:cs="宋体"/>
          <w:color w:val="000000"/>
          <w:kern w:val="0"/>
          <w:sz w:val="32"/>
          <w:szCs w:val="32"/>
          <w:lang w:val="en-US" w:eastAsia="zh-CN"/>
        </w:rPr>
        <w:t>节能环保支出减少74.54%，其中：（1）基本支出增加7.8%，原因是</w:t>
      </w:r>
      <w:r>
        <w:rPr>
          <w:rFonts w:hint="eastAsia" w:ascii="仿宋" w:hAnsi="仿宋" w:eastAsia="仿宋"/>
          <w:color w:val="222222"/>
          <w:sz w:val="32"/>
          <w:szCs w:val="32"/>
        </w:rPr>
        <w:t>工资上调、人员增加</w:t>
      </w:r>
      <w:r>
        <w:rPr>
          <w:rFonts w:hint="eastAsia" w:ascii="仿宋_GB2312" w:hAnsi="宋体" w:eastAsia="仿宋_GB2312" w:cs="宋体"/>
          <w:color w:val="000000"/>
          <w:kern w:val="0"/>
          <w:sz w:val="32"/>
          <w:szCs w:val="32"/>
          <w:lang w:val="en-US" w:eastAsia="zh-CN"/>
        </w:rPr>
        <w:t>；（2）</w:t>
      </w:r>
      <w:r>
        <w:rPr>
          <w:rFonts w:hint="eastAsia" w:ascii="仿宋_GB2312" w:hAnsi="楷体" w:eastAsia="仿宋_GB2312"/>
          <w:sz w:val="32"/>
          <w:szCs w:val="32"/>
          <w:lang w:val="en-US" w:eastAsia="zh-CN"/>
        </w:rPr>
        <w:t>项目支出减少79.5%，原因是：减少环保监测点监测设备更新经费700万元、调整预算项目辛安泉饮用水源地生态补偿资金2200万元至转移性支出。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“三公”经费增减变动原因说明</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1"/>
        <w:textAlignment w:val="auto"/>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2022年一般公共预算安排的“三公”经费预算4.5万元，比2021年减少0.5万元，原因是按照中央八项规定的要求严格控制三公经费支出。其中公务接待费2.5万元，比上年减少0.5万元，公务用车运行维护费2万元，与上年一致。</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36"/>
        <w:textAlignment w:val="auto"/>
        <w:rPr>
          <w:rFonts w:ascii="楷体" w:hAnsi="楷体" w:eastAsia="楷体"/>
          <w:sz w:val="32"/>
          <w:szCs w:val="32"/>
        </w:rPr>
      </w:pPr>
      <w:r>
        <w:rPr>
          <w:rFonts w:hint="eastAsia" w:ascii="楷体" w:hAnsi="楷体" w:eastAsia="楷体"/>
          <w:sz w:val="32"/>
          <w:szCs w:val="32"/>
        </w:rPr>
        <w:t>三、机关运行经费增减变动原因说明</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1"/>
        <w:textAlignment w:val="auto"/>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2022年机关运行经费财政拨款预算78.81万元，比2021年预算增加6.57万元，增加9.09%，原因是:人员增加，公用经费相应增加</w:t>
      </w:r>
      <w:r>
        <w:rPr>
          <w:rFonts w:hint="eastAsia" w:ascii="仿宋_GB2312" w:hAnsi="宋体" w:eastAsia="仿宋_GB2312" w:cs="宋体"/>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ascii="楷体" w:hAnsi="楷体" w:eastAsia="楷体"/>
          <w:sz w:val="32"/>
          <w:szCs w:val="32"/>
        </w:rPr>
      </w:pPr>
      <w:r>
        <w:rPr>
          <w:rFonts w:hint="eastAsia" w:ascii="楷体" w:hAnsi="楷体" w:eastAsia="楷体"/>
          <w:sz w:val="32"/>
          <w:szCs w:val="32"/>
        </w:rPr>
        <w:t>四、其他说明</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2022年采购预算总额200.94万元，其中：政府采购货物预算2.5万元、政府采购服务预算198.44万元。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1.车辆情况；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长治市生态环境局机关共有1辆环境执法业务用车，23辆喷雾降尘车。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房屋情况；</w:t>
      </w:r>
      <w:bookmarkStart w:id="0" w:name="_GoBack"/>
      <w:bookmarkEnd w:id="0"/>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办公用房面积6207.46平方米。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6"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其他国有资产占有使用情况。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无</w:t>
      </w:r>
    </w:p>
    <w:p>
      <w:pPr>
        <w:keepNext w:val="0"/>
        <w:keepLines w:val="0"/>
        <w:pageBreakBefore w:val="0"/>
        <w:widowControl w:val="0"/>
        <w:kinsoku/>
        <w:wordWrap/>
        <w:overflowPunct/>
        <w:topLinePunct w:val="0"/>
        <w:bidi w:val="0"/>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）绩效管理情况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2022年长治市生态环境局机关实行绩效目标管理的项目16个，涉及一般公共预算当年拨款2942.66万元。</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）非税收入和基金执收情况</w:t>
      </w: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eastAsia" w:ascii="仿宋_GB2312" w:hAnsi="宋体" w:eastAsia="仿宋_GB2312" w:cs="宋体"/>
          <w:color w:val="000000"/>
          <w:kern w:val="0"/>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 w:hAnsi="仿宋" w:eastAsia="仿宋" w:cs="仿宋"/>
          <w:color w:val="222222"/>
          <w:sz w:val="32"/>
          <w:szCs w:val="32"/>
          <w:lang w:val="en-US" w:eastAsia="zh-CN"/>
        </w:rPr>
        <w:t xml:space="preserve"> </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非税收入和政府性基金执收单位还应当向社会公开非税收入和政府性基金项目名称、设立依据、征收方式和标准等。</w:t>
      </w:r>
    </w:p>
    <w:p>
      <w:pPr>
        <w:keepNext w:val="0"/>
        <w:keepLines w:val="0"/>
        <w:pageBreakBefore w:val="0"/>
        <w:widowControl w:val="0"/>
        <w:numPr>
          <w:ilvl w:val="0"/>
          <w:numId w:val="2"/>
        </w:numPr>
        <w:kinsoku/>
        <w:wordWrap/>
        <w:overflowPunct/>
        <w:topLinePunct w:val="0"/>
        <w:bidi w:val="0"/>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政府购买服务指导性目录</w:t>
      </w:r>
    </w:p>
    <w:p>
      <w:pPr>
        <w:pStyle w:val="2"/>
        <w:numPr>
          <w:ilvl w:val="0"/>
          <w:numId w:val="0"/>
        </w:numPr>
        <w:rPr>
          <w:rFonts w:hint="eastAsia"/>
        </w:rPr>
      </w:pPr>
    </w:p>
    <w:tbl>
      <w:tblPr>
        <w:tblStyle w:val="7"/>
        <w:tblW w:w="8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016"/>
        <w:gridCol w:w="1449"/>
        <w:gridCol w:w="1821"/>
        <w:gridCol w:w="3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代码</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一级目录</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二级目录</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三级目录</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公共服务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公共安全隐患排查治理服务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A010101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生态环境领域大气、水、土壤、核辐射等隐患排查治理服务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安全生态应急救援服务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A010401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生态环境领域应急救援服务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生态保护和环境治理服务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生态资源调查与监测服务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自然保护地、生态保护红线调查与检测服务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生物多样性和物种资源调查服务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生物遗传资源、生物安全管理调查与监测服务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生态遥感调查服务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A060105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废弃电子产品处理监测服务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碳汇监测与评估服务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A060301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碳汇卫星监测服务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废弃物处理服务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A060401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固体和危险废物无害化处置服务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环境保护成果交流与管理服务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A060601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生态环境保护技术成果推广服务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A060602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生态环境保护成果宣传教育、科学普及服务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农业农村环境治理服务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A060701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农村生活污水处理服务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A1406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灾情调查评估服务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A140601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重点核技术利用单位灾情调查评估服务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公共信息与宣传服务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公共公益宣传服务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全国低碳日宣传服务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生态环境法治公益宣传服务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生物多样性宣传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全国环境日宣传服务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A150205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自然保护地和生态保护红线宣传服务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公共公益展览服务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A150301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绿色低碳展览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行业管理服务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行业规划服务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移动源和噪声污染防治规划服务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A160102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生态环境保护规划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A160103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危险废物收集利用处置设施规划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A160104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农村生态污水治理规划服务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行业统计分析服务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A160301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环境统计调查分析服务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A160302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化学品及国际履约污染物调查统计服务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A160303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林业碳汇计量理论、方法与技术体系研究服务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行业规范服务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A160501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大气、水、土壤污染治理行业规范服务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A160502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“双碳”行业规范服务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行业标准制修订服务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A160601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移动源和噪声污染防治标准制修订服务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A160602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危险废物监督管理指南服务，固体废物污染控制标准规范制定服务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A160603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应急预案和环境应急标准制修订服务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A160604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大气、水、土壤污染治理行业标准制修订服务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行业咨询服务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A160801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大气、水、土壤等环境污染治理行业咨询服务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技术型公共服务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技术评审鉴定评估服务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A170201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生态环境损害鉴定分析服务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A170202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医疗废物补短板效果评估服务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移动源和噪声污染检测服务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挥发性有机物手工监测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环境空气质量监测服务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水质委托监测服务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污染源执法监测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入河排污口监测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土壤污染监测服务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自然保护区人类活动变化遥感监测服务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A170310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碳排放监测服务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楷体_GB2312" w:hAnsi="楷体_GB2312" w:eastAsia="楷体_GB2312" w:cs="楷体_GB2312"/>
          <w:sz w:val="32"/>
          <w:szCs w:val="32"/>
        </w:rPr>
      </w:pP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其他</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222222"/>
          <w:sz w:val="32"/>
          <w:szCs w:val="32"/>
          <w:lang w:val="en-US" w:eastAsia="zh-CN"/>
        </w:rPr>
      </w:pPr>
      <w:r>
        <w:rPr>
          <w:rFonts w:hint="eastAsia" w:ascii="仿宋" w:hAnsi="仿宋" w:eastAsia="仿宋" w:cs="仿宋"/>
          <w:color w:val="222222"/>
          <w:sz w:val="32"/>
          <w:szCs w:val="32"/>
          <w:lang w:val="en-US" w:eastAsia="zh-CN"/>
        </w:rPr>
        <w:t>本单位政府性基金预算收入预算表、支出预算表、国有资本经营预算收支预算表无相关内容。</w:t>
      </w:r>
    </w:p>
    <w:p>
      <w:pPr>
        <w:keepNext w:val="0"/>
        <w:keepLines w:val="0"/>
        <w:pageBreakBefore w:val="0"/>
        <w:widowControl w:val="0"/>
        <w:kinsoku/>
        <w:wordWrap/>
        <w:overflowPunct/>
        <w:topLinePunct w:val="0"/>
        <w:bidi w:val="0"/>
        <w:snapToGrid/>
        <w:spacing w:line="56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名词解释（参考模板，</w:t>
      </w:r>
      <w:r>
        <w:rPr>
          <w:rFonts w:hint="eastAsia" w:ascii="黑体" w:hAnsi="黑体" w:eastAsia="黑体"/>
          <w:sz w:val="32"/>
          <w:szCs w:val="32"/>
          <w:lang w:val="en-US" w:eastAsia="zh-CN"/>
        </w:rPr>
        <w:t>请不要随意删减</w:t>
      </w:r>
      <w:r>
        <w:rPr>
          <w:rFonts w:hint="eastAsia" w:ascii="黑体" w:hAnsi="黑体" w:eastAsia="黑体"/>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（一）基本支出：</w:t>
      </w:r>
      <w:r>
        <w:rPr>
          <w:rFonts w:hint="eastAsia" w:ascii="仿宋" w:hAnsi="仿宋" w:eastAsia="仿宋" w:cs="仿宋"/>
          <w:sz w:val="32"/>
          <w:szCs w:val="32"/>
        </w:rPr>
        <w:t>指为保障机构正常运转、完成日常</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（二）项目支出：</w:t>
      </w:r>
      <w:r>
        <w:rPr>
          <w:rFonts w:hint="eastAsia" w:ascii="仿宋" w:hAnsi="仿宋" w:eastAsia="仿宋" w:cs="仿宋"/>
          <w:sz w:val="32"/>
          <w:szCs w:val="32"/>
        </w:rPr>
        <w:t>指在基本支出之外为完成特定行政任</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（三）“三公”经费：</w:t>
      </w:r>
      <w:r>
        <w:rPr>
          <w:rFonts w:hint="eastAsia" w:ascii="仿宋" w:hAnsi="仿宋" w:eastAsia="仿宋" w:cs="仿宋"/>
          <w:sz w:val="32"/>
          <w:szCs w:val="32"/>
        </w:rPr>
        <w:t>指</w:t>
      </w:r>
      <w:r>
        <w:rPr>
          <w:rFonts w:hint="eastAsia" w:ascii="仿宋" w:hAnsi="仿宋" w:eastAsia="仿宋" w:cs="仿宋"/>
          <w:sz w:val="32"/>
          <w:szCs w:val="32"/>
          <w:lang w:eastAsia="zh-CN"/>
        </w:rPr>
        <w:t>市</w:t>
      </w:r>
      <w:r>
        <w:rPr>
          <w:rFonts w:hint="eastAsia" w:ascii="仿宋" w:hAnsi="仿宋" w:eastAsia="仿宋" w:cs="仿宋"/>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（四）机关运行经费：</w:t>
      </w:r>
      <w:r>
        <w:rPr>
          <w:rFonts w:hint="eastAsia" w:ascii="仿宋" w:hAnsi="仿宋" w:eastAsia="仿宋" w:cs="仿宋"/>
          <w:sz w:val="32"/>
          <w:szCs w:val="32"/>
        </w:rPr>
        <w:t>指行政单位和参照公务员法管理的事业单位使用一般公共预算安排的基本支出中的日常公用经费支出。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政府购买服务：</w:t>
      </w:r>
      <w:r>
        <w:rPr>
          <w:rFonts w:hint="eastAsia" w:ascii="仿宋" w:hAnsi="仿宋" w:eastAsia="仿宋" w:cs="仿宋"/>
          <w:sz w:val="32"/>
          <w:szCs w:val="32"/>
          <w:lang w:val="en-US" w:eastAsia="zh-CN"/>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（六）一般公共预算：</w:t>
      </w:r>
      <w:r>
        <w:rPr>
          <w:rFonts w:hint="eastAsia" w:ascii="仿宋" w:hAnsi="仿宋" w:eastAsia="仿宋" w:cs="仿宋"/>
          <w:sz w:val="32"/>
          <w:szCs w:val="32"/>
          <w:lang w:val="en-US" w:eastAsia="zh-CN"/>
        </w:rPr>
        <w:t>是指以税收为主体的财政收入，安排用于保障和改善民生、推动经济社会发展、维护国家安全、维持国家机构正常运转等方面的收支预算。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（七）政府性基金预算：</w:t>
      </w:r>
      <w:r>
        <w:rPr>
          <w:rFonts w:hint="eastAsia" w:ascii="仿宋" w:hAnsi="仿宋" w:eastAsia="仿宋" w:cs="仿宋"/>
          <w:sz w:val="32"/>
          <w:szCs w:val="32"/>
          <w:lang w:val="en-US" w:eastAsia="zh-CN"/>
        </w:rPr>
        <w:t>是对依照法律、行政法规的规定在一定期限内向特定对象征收、收取或者以其他方式筹集的资金，专项用于特定公共事业发展的收支预算。</w:t>
      </w:r>
    </w:p>
    <w:p>
      <w:pPr>
        <w:pStyle w:val="2"/>
        <w:ind w:left="0" w:leftChars="0" w:firstLine="640" w:firstLineChars="200"/>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（八）国有资本经营预算：</w:t>
      </w:r>
      <w:r>
        <w:rPr>
          <w:rFonts w:hint="eastAsia" w:ascii="仿宋" w:hAnsi="仿宋" w:eastAsia="仿宋" w:cs="仿宋"/>
          <w:sz w:val="32"/>
          <w:szCs w:val="32"/>
          <w:lang w:val="en-US" w:eastAsia="zh-CN"/>
        </w:rPr>
        <w:t>是对国有资本收益作出支出安排的收支预算。</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kern w:val="2"/>
          <w:sz w:val="32"/>
          <w:szCs w:val="32"/>
          <w:lang w:val="en-US" w:eastAsia="zh-CN" w:bidi="ar-SA"/>
        </w:rPr>
        <w:t>财政专户管理资金：</w:t>
      </w:r>
      <w:r>
        <w:rPr>
          <w:rFonts w:hint="eastAsia" w:ascii="仿宋" w:hAnsi="仿宋" w:eastAsia="仿宋" w:cs="仿宋"/>
          <w:kern w:val="2"/>
          <w:sz w:val="32"/>
          <w:szCs w:val="32"/>
          <w:lang w:val="en-US" w:eastAsia="zh-CN" w:bidi="ar-SA"/>
        </w:rPr>
        <w:t>专指教育收费，包括目前在财政专户管理的高中以上学费、住宿费，高校委托培养费，党校收费，教育考试考务费，函大、电大、夜大及短训班培训费等。</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（十）单位资金：</w:t>
      </w:r>
      <w:r>
        <w:rPr>
          <w:rFonts w:hint="eastAsia" w:ascii="仿宋" w:hAnsi="仿宋" w:eastAsia="仿宋" w:cs="仿宋"/>
          <w:kern w:val="2"/>
          <w:sz w:val="32"/>
          <w:szCs w:val="32"/>
          <w:lang w:val="en-US" w:eastAsia="zh-CN" w:bidi="ar-SA"/>
        </w:rPr>
        <w:t>是指除政府预算资金和财政专户管理资金以外的资金，包括事业收入、事业单位经营收入、上级补助收入、附属单位上缴收入、其他收入。</w:t>
      </w:r>
    </w:p>
    <w:p>
      <w:pPr>
        <w:pStyle w:val="2"/>
        <w:ind w:left="0" w:leftChars="0" w:firstLine="640" w:firstLineChars="200"/>
        <w:rPr>
          <w:rFonts w:hint="eastAsia" w:ascii="仿宋" w:hAnsi="仿宋" w:eastAsia="仿宋" w:cs="仿宋"/>
          <w:lang w:val="en-US" w:eastAsia="zh-CN"/>
        </w:rPr>
      </w:pPr>
      <w:r>
        <w:rPr>
          <w:rFonts w:hint="eastAsia" w:ascii="楷体_GB2312" w:hAnsi="楷体_GB2312" w:eastAsia="楷体_GB2312" w:cs="楷体_GB2312"/>
          <w:kern w:val="2"/>
          <w:sz w:val="32"/>
          <w:szCs w:val="32"/>
          <w:lang w:val="en-US" w:eastAsia="zh-CN" w:bidi="ar-SA"/>
        </w:rPr>
        <w:t>（十一）上年结转：</w:t>
      </w:r>
      <w:r>
        <w:rPr>
          <w:rFonts w:hint="eastAsia" w:ascii="仿宋" w:hAnsi="仿宋" w:eastAsia="仿宋" w:cs="仿宋"/>
          <w:kern w:val="2"/>
          <w:sz w:val="32"/>
          <w:szCs w:val="32"/>
          <w:lang w:val="en-US" w:eastAsia="zh-CN" w:bidi="ar-SA"/>
        </w:rPr>
        <w:t>指以前年度预算安排、结转到本年仍按原规定用途继续使用的资金。</w:t>
      </w:r>
    </w:p>
    <w:p>
      <w:pPr>
        <w:ind w:firstLine="640"/>
        <w:rPr>
          <w:rFonts w:hint="default"/>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长治市生态环境局</w:t>
      </w:r>
    </w:p>
    <w:p>
      <w:pPr>
        <w:keepNext w:val="0"/>
        <w:keepLines w:val="0"/>
        <w:pageBreakBefore w:val="0"/>
        <w:widowControl w:val="0"/>
        <w:kinsoku/>
        <w:wordWrap/>
        <w:overflowPunct/>
        <w:topLinePunct w:val="0"/>
        <w:bidi w:val="0"/>
        <w:snapToGrid/>
        <w:spacing w:line="56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2022年3月16日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E6E16"/>
    <w:multiLevelType w:val="singleLevel"/>
    <w:tmpl w:val="F4FE6E16"/>
    <w:lvl w:ilvl="0" w:tentative="0">
      <w:start w:val="1"/>
      <w:numFmt w:val="decimal"/>
      <w:suff w:val="nothing"/>
      <w:lvlText w:val="%1、"/>
      <w:lvlJc w:val="left"/>
    </w:lvl>
  </w:abstractNum>
  <w:abstractNum w:abstractNumId="1">
    <w:nsid w:val="58D476BD"/>
    <w:multiLevelType w:val="singleLevel"/>
    <w:tmpl w:val="58D476BD"/>
    <w:lvl w:ilvl="0" w:tentative="0">
      <w:start w:val="5"/>
      <w:numFmt w:val="chineseCounting"/>
      <w:suff w:val="space"/>
      <w:lvlText w:val="（%1）"/>
      <w:lvlJc w:val="left"/>
    </w:lvl>
  </w:abstractNum>
  <w:abstractNum w:abstractNumId="2">
    <w:nsid w:val="6F67AD10"/>
    <w:multiLevelType w:val="singleLevel"/>
    <w:tmpl w:val="6F67AD1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30361"/>
    <w:rsid w:val="00332350"/>
    <w:rsid w:val="00530361"/>
    <w:rsid w:val="00552BFB"/>
    <w:rsid w:val="00575A54"/>
    <w:rsid w:val="0069691F"/>
    <w:rsid w:val="006C112A"/>
    <w:rsid w:val="00704336"/>
    <w:rsid w:val="007E3878"/>
    <w:rsid w:val="008E24FF"/>
    <w:rsid w:val="009B1164"/>
    <w:rsid w:val="009C570F"/>
    <w:rsid w:val="00A665B7"/>
    <w:rsid w:val="00A76357"/>
    <w:rsid w:val="00D278F0"/>
    <w:rsid w:val="00E24128"/>
    <w:rsid w:val="00E43FC2"/>
    <w:rsid w:val="01B4135D"/>
    <w:rsid w:val="01C50CE1"/>
    <w:rsid w:val="05510D46"/>
    <w:rsid w:val="05811672"/>
    <w:rsid w:val="073853D3"/>
    <w:rsid w:val="08F97885"/>
    <w:rsid w:val="0985628C"/>
    <w:rsid w:val="09896468"/>
    <w:rsid w:val="09F02497"/>
    <w:rsid w:val="0B5A1DB5"/>
    <w:rsid w:val="0C6D2071"/>
    <w:rsid w:val="106410FF"/>
    <w:rsid w:val="10DC36E5"/>
    <w:rsid w:val="11E94C9C"/>
    <w:rsid w:val="141F1EA3"/>
    <w:rsid w:val="182669FF"/>
    <w:rsid w:val="183321B9"/>
    <w:rsid w:val="19F61FF9"/>
    <w:rsid w:val="1A4B3503"/>
    <w:rsid w:val="1C0C3B07"/>
    <w:rsid w:val="1E606C97"/>
    <w:rsid w:val="1F75674E"/>
    <w:rsid w:val="1FC20651"/>
    <w:rsid w:val="20B15893"/>
    <w:rsid w:val="20FF16B1"/>
    <w:rsid w:val="2127683B"/>
    <w:rsid w:val="23751ADF"/>
    <w:rsid w:val="246D32FD"/>
    <w:rsid w:val="25953D87"/>
    <w:rsid w:val="272950BB"/>
    <w:rsid w:val="2BAB5FC4"/>
    <w:rsid w:val="2C5E78BF"/>
    <w:rsid w:val="2CC60056"/>
    <w:rsid w:val="2D025A3F"/>
    <w:rsid w:val="2D394FA2"/>
    <w:rsid w:val="2F4A7565"/>
    <w:rsid w:val="2F8336E1"/>
    <w:rsid w:val="30372DEC"/>
    <w:rsid w:val="30782051"/>
    <w:rsid w:val="31CC4FC0"/>
    <w:rsid w:val="32135CDE"/>
    <w:rsid w:val="34C0547B"/>
    <w:rsid w:val="353E6551"/>
    <w:rsid w:val="35BC1C21"/>
    <w:rsid w:val="36005A95"/>
    <w:rsid w:val="37334D73"/>
    <w:rsid w:val="390D56C2"/>
    <w:rsid w:val="3DFB6846"/>
    <w:rsid w:val="3E09134A"/>
    <w:rsid w:val="40E439A9"/>
    <w:rsid w:val="489D4BD5"/>
    <w:rsid w:val="491C0184"/>
    <w:rsid w:val="4C1A6AB3"/>
    <w:rsid w:val="4C2A373B"/>
    <w:rsid w:val="4D27293B"/>
    <w:rsid w:val="4DAC0838"/>
    <w:rsid w:val="4DB013FC"/>
    <w:rsid w:val="4F7D7F40"/>
    <w:rsid w:val="501E791D"/>
    <w:rsid w:val="508F58F6"/>
    <w:rsid w:val="514A7858"/>
    <w:rsid w:val="51670448"/>
    <w:rsid w:val="516E1A8F"/>
    <w:rsid w:val="53A371B6"/>
    <w:rsid w:val="55B81971"/>
    <w:rsid w:val="56CB143B"/>
    <w:rsid w:val="58F5279F"/>
    <w:rsid w:val="5C8205E7"/>
    <w:rsid w:val="5C9C6664"/>
    <w:rsid w:val="5CA32150"/>
    <w:rsid w:val="5D817288"/>
    <w:rsid w:val="61196E57"/>
    <w:rsid w:val="6157253F"/>
    <w:rsid w:val="62BE466C"/>
    <w:rsid w:val="63637CAA"/>
    <w:rsid w:val="65E958F9"/>
    <w:rsid w:val="65ED418E"/>
    <w:rsid w:val="66C717FC"/>
    <w:rsid w:val="68CB0C77"/>
    <w:rsid w:val="69B244C2"/>
    <w:rsid w:val="6A864F18"/>
    <w:rsid w:val="6B577917"/>
    <w:rsid w:val="6C765DD4"/>
    <w:rsid w:val="6CCF2B05"/>
    <w:rsid w:val="71765F13"/>
    <w:rsid w:val="72895FDA"/>
    <w:rsid w:val="73497518"/>
    <w:rsid w:val="73DC621B"/>
    <w:rsid w:val="746303FB"/>
    <w:rsid w:val="749E0C63"/>
    <w:rsid w:val="758414E5"/>
    <w:rsid w:val="78EC2E1F"/>
    <w:rsid w:val="798474FC"/>
    <w:rsid w:val="7AA918D2"/>
    <w:rsid w:val="7C004D58"/>
    <w:rsid w:val="7C75312C"/>
    <w:rsid w:val="7CFD17B0"/>
    <w:rsid w:val="7DF909DF"/>
    <w:rsid w:val="7E7C0849"/>
    <w:rsid w:val="7F553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7</TotalTime>
  <ScaleCrop>false</ScaleCrop>
  <LinksUpToDate>false</LinksUpToDate>
  <CharactersWithSpaces>1057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Administrator</cp:lastModifiedBy>
  <cp:lastPrinted>2020-05-20T00:46:00Z</cp:lastPrinted>
  <dcterms:modified xsi:type="dcterms:W3CDTF">2022-03-17T08:19:19Z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AF5454AB985343389EEC7AD4E038D923</vt:lpwstr>
  </property>
</Properties>
</file>