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80" w:lineRule="exact"/>
        <w:ind w:left="0" w:leftChars="0" w:right="0"/>
        <w:jc w:val="center"/>
        <w:outlineLvl w:val="9"/>
        <w:rPr>
          <w:rFonts w:hint="eastAsia" w:ascii="宋体" w:hAnsi="宋体" w:eastAsia="宋体" w:cs="宋体"/>
          <w:b w:val="0"/>
          <w:bCs w:val="0"/>
          <w:sz w:val="44"/>
          <w:szCs w:val="44"/>
          <w:lang w:eastAsia="zh-CN"/>
        </w:rPr>
      </w:pPr>
    </w:p>
    <w:p>
      <w:pPr>
        <w:widowControl w:val="0"/>
        <w:wordWrap/>
        <w:adjustRightInd/>
        <w:snapToGrid/>
        <w:spacing w:before="0" w:after="0" w:line="580" w:lineRule="exact"/>
        <w:ind w:left="0" w:leftChars="0" w:right="0"/>
        <w:jc w:val="center"/>
        <w:outlineLvl w:val="9"/>
        <w:rPr>
          <w:rFonts w:hint="eastAsia" w:ascii="宋体" w:hAnsi="宋体" w:eastAsia="宋体" w:cs="宋体"/>
          <w:b w:val="0"/>
          <w:bCs w:val="0"/>
          <w:sz w:val="44"/>
          <w:szCs w:val="44"/>
          <w:lang w:eastAsia="zh-CN"/>
        </w:rPr>
      </w:pPr>
    </w:p>
    <w:p>
      <w:pPr>
        <w:widowControl w:val="0"/>
        <w:wordWrap/>
        <w:adjustRightInd/>
        <w:snapToGrid/>
        <w:spacing w:before="0" w:after="0" w:line="580" w:lineRule="exact"/>
        <w:ind w:left="0" w:leftChars="0" w:right="0"/>
        <w:jc w:val="center"/>
        <w:outlineLvl w:val="9"/>
        <w:rPr>
          <w:rFonts w:hint="eastAsia" w:ascii="宋体" w:hAnsi="宋体" w:eastAsia="宋体" w:cs="宋体"/>
          <w:b w:val="0"/>
          <w:bCs w:val="0"/>
          <w:sz w:val="44"/>
          <w:szCs w:val="44"/>
          <w:lang w:eastAsia="zh-CN"/>
        </w:rPr>
      </w:pPr>
    </w:p>
    <w:p>
      <w:pPr>
        <w:widowControl w:val="0"/>
        <w:wordWrap/>
        <w:adjustRightInd/>
        <w:snapToGrid/>
        <w:spacing w:before="0" w:after="0" w:line="580" w:lineRule="exact"/>
        <w:ind w:left="0" w:leftChars="0" w:right="0"/>
        <w:jc w:val="center"/>
        <w:outlineLvl w:val="9"/>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长治市科学技术协会</w:t>
      </w:r>
    </w:p>
    <w:p>
      <w:pPr>
        <w:widowControl w:val="0"/>
        <w:wordWrap/>
        <w:adjustRightInd/>
        <w:snapToGrid/>
        <w:spacing w:before="0" w:after="0" w:line="580" w:lineRule="exact"/>
        <w:ind w:left="0" w:leftChars="0" w:right="0"/>
        <w:jc w:val="center"/>
        <w:outlineLvl w:val="9"/>
        <w:rPr>
          <w:rFonts w:hint="eastAsia" w:ascii="宋体" w:hAnsi="宋体" w:eastAsia="宋体" w:cs="宋体"/>
          <w:b w:val="0"/>
          <w:bCs w:val="0"/>
          <w:sz w:val="44"/>
          <w:szCs w:val="44"/>
          <w:lang w:eastAsia="zh-CN"/>
        </w:rPr>
      </w:pPr>
      <w:r>
        <w:rPr>
          <w:rFonts w:hint="eastAsia" w:ascii="宋体" w:hAnsi="宋体" w:eastAsia="宋体" w:cs="宋体"/>
          <w:b/>
          <w:bCs/>
          <w:sz w:val="44"/>
          <w:szCs w:val="44"/>
        </w:rPr>
        <w:t>201</w:t>
      </w:r>
      <w:r>
        <w:rPr>
          <w:rFonts w:hint="eastAsia" w:ascii="宋体" w:hAnsi="宋体" w:cs="宋体"/>
          <w:b/>
          <w:bCs/>
          <w:sz w:val="44"/>
          <w:szCs w:val="44"/>
          <w:lang w:val="en-US" w:eastAsia="zh-CN"/>
        </w:rPr>
        <w:t>8</w:t>
      </w:r>
      <w:r>
        <w:rPr>
          <w:rFonts w:hint="eastAsia" w:ascii="宋体" w:hAnsi="宋体" w:eastAsia="宋体" w:cs="宋体"/>
          <w:b/>
          <w:bCs/>
          <w:sz w:val="44"/>
          <w:szCs w:val="44"/>
        </w:rPr>
        <w:t>年预算</w:t>
      </w:r>
      <w:r>
        <w:rPr>
          <w:rFonts w:hint="eastAsia" w:ascii="宋体" w:hAnsi="宋体" w:eastAsia="宋体" w:cs="宋体"/>
          <w:b/>
          <w:bCs/>
          <w:sz w:val="44"/>
          <w:szCs w:val="44"/>
          <w:lang w:eastAsia="zh-CN"/>
        </w:rPr>
        <w:t>公开相关说明</w:t>
      </w:r>
    </w:p>
    <w:p>
      <w:pPr>
        <w:widowControl w:val="0"/>
        <w:wordWrap/>
        <w:adjustRightInd/>
        <w:snapToGrid/>
        <w:spacing w:before="0" w:after="0" w:line="580" w:lineRule="exact"/>
        <w:ind w:left="0" w:leftChars="0" w:right="0"/>
        <w:jc w:val="center"/>
        <w:outlineLvl w:val="9"/>
        <w:rPr>
          <w:rFonts w:ascii="仿宋" w:hAnsi="仿宋" w:eastAsia="仿宋"/>
          <w:sz w:val="32"/>
          <w:szCs w:val="32"/>
        </w:rPr>
      </w:pPr>
    </w:p>
    <w:p>
      <w:pPr>
        <w:widowControl w:val="0"/>
        <w:wordWrap/>
        <w:adjustRightInd/>
        <w:snapToGrid/>
        <w:spacing w:before="0" w:after="0" w:line="580" w:lineRule="exact"/>
        <w:ind w:left="0" w:leftChars="0" w:right="0"/>
        <w:jc w:val="both"/>
        <w:textAlignment w:val="auto"/>
        <w:outlineLvl w:val="9"/>
        <w:rPr>
          <w:rFonts w:hint="eastAsia" w:ascii="黑体" w:hAnsi="黑体" w:eastAsia="黑体"/>
          <w:sz w:val="32"/>
          <w:szCs w:val="32"/>
        </w:rPr>
      </w:pPr>
      <w:r>
        <w:rPr>
          <w:rFonts w:hint="eastAsia" w:ascii="黑体" w:hAnsi="黑体" w:eastAsia="黑体"/>
          <w:sz w:val="32"/>
          <w:szCs w:val="32"/>
        </w:rPr>
        <w:t>第一部分  概况</w:t>
      </w:r>
    </w:p>
    <w:p>
      <w:pPr>
        <w:widowControl w:val="0"/>
        <w:wordWrap/>
        <w:adjustRightInd/>
        <w:snapToGrid/>
        <w:spacing w:before="0" w:after="0" w:line="580" w:lineRule="exact"/>
        <w:ind w:left="0" w:leftChars="0" w:right="0" w:firstLine="643" w:firstLineChars="200"/>
        <w:jc w:val="both"/>
        <w:textAlignment w:val="auto"/>
        <w:outlineLvl w:val="9"/>
        <w:rPr>
          <w:rFonts w:ascii="楷体" w:hAnsi="楷体" w:eastAsia="楷体"/>
          <w:b/>
          <w:bCs/>
          <w:sz w:val="32"/>
          <w:szCs w:val="32"/>
        </w:rPr>
      </w:pPr>
      <w:r>
        <w:rPr>
          <w:rFonts w:hint="eastAsia" w:ascii="楷体" w:hAnsi="楷体" w:eastAsia="楷体"/>
          <w:b/>
          <w:bCs/>
          <w:sz w:val="32"/>
          <w:szCs w:val="32"/>
        </w:rPr>
        <w:t>一、</w:t>
      </w:r>
      <w:r>
        <w:rPr>
          <w:rFonts w:hint="eastAsia" w:ascii="楷体" w:hAnsi="楷体" w:eastAsia="楷体"/>
          <w:b/>
          <w:bCs/>
          <w:sz w:val="32"/>
          <w:szCs w:val="32"/>
          <w:lang w:eastAsia="zh-CN"/>
        </w:rPr>
        <w:t>长治市科协主要</w:t>
      </w:r>
      <w:r>
        <w:rPr>
          <w:rFonts w:hint="eastAsia" w:ascii="楷体" w:hAnsi="楷体" w:eastAsia="楷体"/>
          <w:b/>
          <w:bCs/>
          <w:sz w:val="32"/>
          <w:szCs w:val="32"/>
        </w:rPr>
        <w:t>职责</w:t>
      </w:r>
    </w:p>
    <w:p>
      <w:pPr>
        <w:widowControl w:val="0"/>
        <w:wordWrap/>
        <w:adjustRightInd/>
        <w:snapToGrid/>
        <w:spacing w:before="0" w:after="0" w:line="580" w:lineRule="exact"/>
        <w:ind w:left="0" w:leftChars="0" w:right="0"/>
        <w:jc w:val="both"/>
        <w:textAlignment w:val="auto"/>
        <w:outlineLvl w:val="9"/>
        <w:rPr>
          <w:rFonts w:hint="eastAsia" w:ascii="仿宋_GB2312" w:hAnsi="仿宋_GB2312" w:eastAsia="仿宋_GB2312"/>
          <w:sz w:val="32"/>
          <w:szCs w:val="32"/>
        </w:rPr>
      </w:pPr>
      <w:r>
        <w:rPr>
          <w:rFonts w:hint="eastAsia" w:ascii="黑体" w:hAnsi="黑体" w:eastAsia="黑体"/>
          <w:sz w:val="32"/>
          <w:szCs w:val="32"/>
          <w:lang w:val="en-US" w:eastAsia="zh-CN"/>
        </w:rPr>
        <w:t xml:space="preserve">    </w:t>
      </w:r>
      <w:r>
        <w:rPr>
          <w:rFonts w:hint="eastAsia" w:ascii="仿宋_GB2312" w:hAnsi="仿宋_GB2312" w:eastAsia="仿宋_GB2312" w:cs="仿宋_GB2312"/>
          <w:sz w:val="32"/>
          <w:szCs w:val="32"/>
          <w:lang w:eastAsia="zh-CN"/>
        </w:rPr>
        <w:t>主要职能是：</w:t>
      </w:r>
      <w:r>
        <w:rPr>
          <w:rFonts w:hint="eastAsia" w:ascii="仿宋_GB2312" w:hAnsi="仿宋_GB2312" w:eastAsia="仿宋_GB2312"/>
          <w:sz w:val="32"/>
          <w:szCs w:val="32"/>
        </w:rPr>
        <w:t>团结和动员全市广大科技工作者，实施科教兴市和可持续发展战略，促进科技进步、经济发展和社会繁荣，开展学术交流和学术活动</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弘扬科学精神，普及科学知识，传播科学思想和科学方法，开展青少年科技教育活动</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提高</w:t>
      </w:r>
      <w:r>
        <w:rPr>
          <w:rFonts w:hint="eastAsia" w:ascii="仿宋_GB2312" w:hAnsi="仿宋_GB2312" w:eastAsia="仿宋_GB2312"/>
          <w:sz w:val="32"/>
          <w:szCs w:val="32"/>
          <w:lang w:eastAsia="zh-CN"/>
        </w:rPr>
        <w:t>公众</w:t>
      </w:r>
      <w:r>
        <w:rPr>
          <w:rFonts w:hint="eastAsia" w:ascii="仿宋_GB2312" w:hAnsi="仿宋_GB2312" w:eastAsia="仿宋_GB2312"/>
          <w:sz w:val="32"/>
          <w:szCs w:val="32"/>
        </w:rPr>
        <w:t>科学文化素质；反映科学工作者的意见、建议和要求，维护科技工作者的合法权益</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表彰奖励在工作中做出突出贡献的组织和科技工作者</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举荐优秀人才；推广先进科学技术，促进科学技术成果转化，组织学会与企业协作，开展科学技术咨询活动，推动企业科学技术进步；开展民间国际科学技术交流活动，发</w:t>
      </w:r>
      <w:r>
        <w:rPr>
          <w:rFonts w:hint="eastAsia" w:ascii="仿宋_GB2312" w:hAnsi="仿宋_GB2312" w:eastAsia="仿宋_GB2312"/>
          <w:sz w:val="32"/>
          <w:szCs w:val="32"/>
          <w:lang w:eastAsia="zh-CN"/>
        </w:rPr>
        <w:t>展</w:t>
      </w:r>
      <w:r>
        <w:rPr>
          <w:rFonts w:hint="eastAsia" w:ascii="仿宋_GB2312" w:hAnsi="仿宋_GB2312" w:eastAsia="仿宋_GB2312"/>
          <w:sz w:val="32"/>
          <w:szCs w:val="32"/>
        </w:rPr>
        <w:t>同国外、省外的科学技术团体的友好交往；履行对主管的市属学会的管理职责</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开展继续教育和培训工作；承担市委、市政府交办的其</w:t>
      </w:r>
      <w:r>
        <w:rPr>
          <w:rFonts w:hint="eastAsia" w:ascii="仿宋_GB2312" w:hAnsi="仿宋_GB2312" w:eastAsia="仿宋_GB2312"/>
          <w:sz w:val="32"/>
          <w:szCs w:val="32"/>
          <w:lang w:eastAsia="zh-CN"/>
        </w:rPr>
        <w:t>它</w:t>
      </w:r>
      <w:r>
        <w:rPr>
          <w:rFonts w:hint="eastAsia" w:ascii="仿宋_GB2312" w:hAnsi="仿宋_GB2312" w:eastAsia="仿宋_GB2312"/>
          <w:sz w:val="32"/>
          <w:szCs w:val="32"/>
        </w:rPr>
        <w:t>事项。</w:t>
      </w:r>
    </w:p>
    <w:p>
      <w:pPr>
        <w:widowControl w:val="0"/>
        <w:wordWrap/>
        <w:adjustRightInd/>
        <w:snapToGrid/>
        <w:spacing w:before="0" w:after="0" w:line="580" w:lineRule="exact"/>
        <w:ind w:left="0" w:leftChars="0" w:right="0"/>
        <w:jc w:val="both"/>
        <w:textAlignment w:val="auto"/>
        <w:outlineLvl w:val="9"/>
        <w:rPr>
          <w:rFonts w:hint="eastAsia" w:ascii="宋体" w:hAnsi="宋体" w:eastAsia="宋体" w:cs="宋体"/>
          <w:b/>
          <w:bCs/>
          <w:sz w:val="44"/>
          <w:szCs w:val="44"/>
          <w:lang w:eastAsia="zh-CN"/>
        </w:rPr>
      </w:pPr>
      <w:r>
        <w:rPr>
          <w:rFonts w:hint="eastAsia" w:ascii="仿宋_GB2312" w:hAnsi="仿宋_GB2312" w:eastAsia="仿宋_GB2312"/>
          <w:sz w:val="32"/>
          <w:szCs w:val="32"/>
          <w:lang w:val="en-US" w:eastAsia="zh-CN"/>
        </w:rPr>
        <w:t xml:space="preserve">    </w:t>
      </w:r>
      <w:r>
        <w:rPr>
          <w:rFonts w:hint="eastAsia" w:ascii="楷体" w:hAnsi="楷体" w:eastAsia="楷体"/>
          <w:b/>
          <w:bCs/>
          <w:sz w:val="32"/>
          <w:szCs w:val="32"/>
        </w:rPr>
        <w:t>二、机构设置情况</w:t>
      </w:r>
    </w:p>
    <w:p>
      <w:pPr>
        <w:widowControl w:val="0"/>
        <w:wordWrap/>
        <w:adjustRightInd/>
        <w:snapToGrid/>
        <w:spacing w:before="0" w:after="0" w:line="580" w:lineRule="exact"/>
        <w:ind w:left="0" w:leftChars="0" w:right="0" w:firstLine="640" w:firstLineChars="200"/>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长治市科协正处级建制，编制1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内设三个部室：办公室、普及部、学会部</w:t>
      </w:r>
      <w:r>
        <w:rPr>
          <w:rFonts w:hint="eastAsia" w:ascii="仿宋_GB2312" w:hAnsi="仿宋_GB2312" w:eastAsia="仿宋_GB2312" w:cs="仿宋_GB2312"/>
          <w:sz w:val="32"/>
          <w:szCs w:val="32"/>
          <w:lang w:eastAsia="zh-CN"/>
        </w:rPr>
        <w:t>。下</w:t>
      </w:r>
      <w:r>
        <w:rPr>
          <w:rFonts w:hint="eastAsia" w:ascii="仿宋_GB2312" w:hAnsi="仿宋_GB2312" w:eastAsia="仿宋_GB2312" w:cs="仿宋_GB2312"/>
          <w:sz w:val="32"/>
          <w:szCs w:val="32"/>
        </w:rPr>
        <w:t>设两个</w:t>
      </w:r>
      <w:r>
        <w:rPr>
          <w:rFonts w:hint="eastAsia" w:ascii="仿宋_GB2312" w:hAnsi="仿宋_GB2312" w:eastAsia="仿宋_GB2312" w:cs="仿宋_GB2312"/>
          <w:sz w:val="32"/>
          <w:szCs w:val="32"/>
          <w:lang w:eastAsia="zh-CN"/>
        </w:rPr>
        <w:t>正科级全额</w:t>
      </w:r>
      <w:r>
        <w:rPr>
          <w:rFonts w:hint="eastAsia" w:ascii="仿宋_GB2312" w:hAnsi="仿宋_GB2312" w:eastAsia="仿宋_GB2312" w:cs="仿宋_GB2312"/>
          <w:sz w:val="32"/>
          <w:szCs w:val="32"/>
        </w:rPr>
        <w:t>事业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长治市</w:t>
      </w:r>
      <w:r>
        <w:rPr>
          <w:rFonts w:hint="eastAsia" w:ascii="仿宋_GB2312" w:hAnsi="仿宋_GB2312" w:eastAsia="仿宋_GB2312" w:cs="仿宋_GB2312"/>
          <w:sz w:val="32"/>
          <w:szCs w:val="32"/>
        </w:rPr>
        <w:t>科技咨询服务部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；长治市</w:t>
      </w:r>
      <w:r>
        <w:rPr>
          <w:rFonts w:hint="eastAsia" w:ascii="仿宋_GB2312" w:hAnsi="仿宋_GB2312" w:eastAsia="仿宋_GB2312" w:cs="仿宋_GB2312"/>
          <w:sz w:val="32"/>
          <w:szCs w:val="32"/>
        </w:rPr>
        <w:t>青少年科技教育活动中心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实有在职人员</w:t>
      </w:r>
      <w:r>
        <w:rPr>
          <w:rFonts w:hint="eastAsia" w:ascii="仿宋_GB2312" w:hAnsi="仿宋_GB2312" w:eastAsia="仿宋_GB2312" w:cs="仿宋_GB2312"/>
          <w:sz w:val="32"/>
          <w:szCs w:val="32"/>
          <w:lang w:val="en-US" w:eastAsia="zh-CN"/>
        </w:rPr>
        <w:t>15人，</w:t>
      </w:r>
      <w:r>
        <w:rPr>
          <w:rFonts w:hint="eastAsia" w:ascii="仿宋_GB2312" w:hAnsi="仿宋_GB2312" w:eastAsia="仿宋_GB2312" w:cs="仿宋_GB2312"/>
          <w:sz w:val="32"/>
          <w:szCs w:val="32"/>
          <w:lang w:eastAsia="zh-CN"/>
        </w:rPr>
        <w:t>离休</w:t>
      </w:r>
      <w:r>
        <w:rPr>
          <w:rFonts w:hint="eastAsia" w:ascii="仿宋_GB2312" w:hAnsi="仿宋_GB2312" w:eastAsia="仿宋_GB2312" w:cs="仿宋_GB2312"/>
          <w:sz w:val="32"/>
          <w:szCs w:val="32"/>
          <w:lang w:val="en-US" w:eastAsia="zh-CN"/>
        </w:rPr>
        <w:t>1人，退休17人。</w:t>
      </w:r>
      <w:r>
        <w:rPr>
          <w:rFonts w:hint="eastAsia" w:ascii="仿宋_GB2312" w:hAnsi="仿宋_GB2312" w:eastAsia="仿宋_GB2312" w:cs="仿宋_GB2312"/>
          <w:sz w:val="32"/>
          <w:szCs w:val="32"/>
          <w:lang w:eastAsia="zh-CN"/>
        </w:rPr>
        <w:t>下设两个事业单位财务不独立，由市科协机关统一核算。</w:t>
      </w:r>
    </w:p>
    <w:p>
      <w:pPr>
        <w:widowControl w:val="0"/>
        <w:wordWrap/>
        <w:adjustRightInd/>
        <w:snapToGrid/>
        <w:spacing w:before="0" w:after="0" w:line="580" w:lineRule="exact"/>
        <w:ind w:left="0" w:leftChars="0" w:right="0"/>
        <w:outlineLvl w:val="9"/>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部分  201</w:t>
      </w:r>
      <w:r>
        <w:rPr>
          <w:rFonts w:hint="eastAsia" w:ascii="黑体" w:hAnsi="黑体" w:eastAsia="黑体"/>
          <w:sz w:val="32"/>
          <w:szCs w:val="32"/>
          <w:lang w:val="en-US" w:eastAsia="zh-CN"/>
        </w:rPr>
        <w:t>8</w:t>
      </w:r>
      <w:r>
        <w:rPr>
          <w:rFonts w:hint="eastAsia" w:ascii="黑体" w:hAnsi="黑体" w:eastAsia="黑体"/>
          <w:sz w:val="32"/>
          <w:szCs w:val="32"/>
        </w:rPr>
        <w:t>年度部门预算情况说明</w:t>
      </w:r>
    </w:p>
    <w:p>
      <w:pPr>
        <w:widowControl w:val="0"/>
        <w:wordWrap/>
        <w:adjustRightInd/>
        <w:snapToGrid/>
        <w:spacing w:before="0" w:after="0" w:line="580" w:lineRule="exact"/>
        <w:ind w:left="0" w:leftChars="0" w:right="0" w:firstLine="643" w:firstLineChars="200"/>
        <w:textAlignment w:val="bottom"/>
        <w:outlineLvl w:val="9"/>
        <w:rPr>
          <w:rFonts w:hint="eastAsia" w:ascii="楷体" w:hAnsi="楷体" w:eastAsia="楷体"/>
          <w:b/>
          <w:bCs/>
          <w:sz w:val="32"/>
          <w:szCs w:val="32"/>
        </w:rPr>
      </w:pPr>
      <w:r>
        <w:rPr>
          <w:rFonts w:hint="eastAsia" w:ascii="楷体" w:hAnsi="楷体" w:eastAsia="楷体"/>
          <w:b/>
          <w:bCs/>
          <w:sz w:val="32"/>
          <w:szCs w:val="32"/>
        </w:rPr>
        <w:t>一、201</w:t>
      </w:r>
      <w:r>
        <w:rPr>
          <w:rFonts w:hint="eastAsia" w:ascii="楷体" w:hAnsi="楷体" w:eastAsia="楷体"/>
          <w:b/>
          <w:bCs/>
          <w:sz w:val="32"/>
          <w:szCs w:val="32"/>
          <w:lang w:val="en-US" w:eastAsia="zh-CN"/>
        </w:rPr>
        <w:t>8</w:t>
      </w:r>
      <w:r>
        <w:rPr>
          <w:rFonts w:hint="eastAsia" w:ascii="楷体" w:hAnsi="楷体" w:eastAsia="楷体"/>
          <w:b/>
          <w:bCs/>
          <w:sz w:val="32"/>
          <w:szCs w:val="32"/>
        </w:rPr>
        <w:t>年度部门预算数据变动情况及原因</w:t>
      </w:r>
    </w:p>
    <w:p>
      <w:pPr>
        <w:widowControl w:val="0"/>
        <w:wordWrap/>
        <w:adjustRightInd/>
        <w:snapToGrid/>
        <w:spacing w:before="0" w:after="0" w:line="580" w:lineRule="exact"/>
        <w:ind w:left="0" w:leftChars="0" w:right="0" w:firstLine="640" w:firstLineChars="200"/>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2018年部门预算安排292.99万元。其中：基本支出207.59万元，项目支出85.4万元。</w:t>
      </w:r>
    </w:p>
    <w:p>
      <w:pPr>
        <w:widowControl w:val="0"/>
        <w:wordWrap/>
        <w:adjustRightInd/>
        <w:snapToGrid/>
        <w:spacing w:before="0" w:after="0" w:line="580" w:lineRule="exact"/>
        <w:ind w:left="0" w:leftChars="0" w:right="0" w:firstLine="640" w:firstLineChars="200"/>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基本支出中，工资福利支出158.9万元，一般商品和服务支出36.18万元，对个人和家庭补助支出12.51万元。</w:t>
      </w:r>
    </w:p>
    <w:p>
      <w:pPr>
        <w:widowControl w:val="0"/>
        <w:wordWrap/>
        <w:adjustRightInd/>
        <w:snapToGrid/>
        <w:spacing w:before="0" w:after="0" w:line="580" w:lineRule="exact"/>
        <w:ind w:left="0" w:leftChars="0" w:right="0" w:firstLine="640" w:firstLineChars="200"/>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项目支出中，专项会议费1万元，专项业务费84.4万元。</w:t>
      </w:r>
    </w:p>
    <w:p>
      <w:pPr>
        <w:widowControl w:val="0"/>
        <w:numPr>
          <w:ilvl w:val="0"/>
          <w:numId w:val="0"/>
        </w:numPr>
        <w:wordWrap/>
        <w:adjustRightInd/>
        <w:snapToGrid/>
        <w:spacing w:before="0" w:after="0" w:line="580" w:lineRule="exact"/>
        <w:ind w:left="636" w:leftChars="0" w:right="0"/>
        <w:outlineLvl w:val="9"/>
        <w:rPr>
          <w:rFonts w:hint="eastAsia" w:ascii="楷体" w:hAnsi="楷体" w:eastAsia="楷体"/>
          <w:sz w:val="32"/>
          <w:szCs w:val="32"/>
        </w:rPr>
      </w:pPr>
      <w:r>
        <w:rPr>
          <w:rFonts w:hint="eastAsia" w:ascii="楷体" w:hAnsi="楷体" w:eastAsia="楷体"/>
          <w:b/>
          <w:bCs/>
          <w:sz w:val="32"/>
          <w:szCs w:val="32"/>
          <w:lang w:eastAsia="zh-CN"/>
        </w:rPr>
        <w:t>二、</w:t>
      </w:r>
      <w:r>
        <w:rPr>
          <w:rFonts w:hint="eastAsia" w:ascii="楷体" w:hAnsi="楷体" w:eastAsia="楷体"/>
          <w:b/>
          <w:bCs/>
          <w:sz w:val="32"/>
          <w:szCs w:val="32"/>
        </w:rPr>
        <w:t>“三公”经费增减变动原因说明</w:t>
      </w:r>
    </w:p>
    <w:p>
      <w:pPr>
        <w:widowControl w:val="0"/>
        <w:wordWrap/>
        <w:adjustRightInd/>
        <w:snapToGrid/>
        <w:spacing w:before="0" w:after="0" w:line="580" w:lineRule="exact"/>
        <w:ind w:left="0" w:leftChars="0" w:right="0" w:firstLine="640" w:firstLineChars="200"/>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2018年“三公”经费安排5万元。其中，日常公务接待费1万元，公务用车运行维护费2万元，科普报告会专项接待费2万元。无变动。</w:t>
      </w:r>
    </w:p>
    <w:p>
      <w:pPr>
        <w:widowControl w:val="0"/>
        <w:wordWrap/>
        <w:adjustRightInd/>
        <w:snapToGrid/>
        <w:spacing w:before="0" w:after="0" w:line="580" w:lineRule="exact"/>
        <w:ind w:left="0" w:leftChars="0" w:right="0" w:firstLine="636"/>
        <w:outlineLvl w:val="9"/>
        <w:rPr>
          <w:rFonts w:ascii="楷体" w:hAnsi="楷体" w:eastAsia="楷体"/>
          <w:sz w:val="32"/>
          <w:szCs w:val="32"/>
        </w:rPr>
      </w:pPr>
      <w:r>
        <w:rPr>
          <w:rFonts w:hint="eastAsia" w:ascii="楷体" w:hAnsi="楷体" w:eastAsia="楷体"/>
          <w:b/>
          <w:bCs/>
          <w:sz w:val="32"/>
          <w:szCs w:val="32"/>
        </w:rPr>
        <w:t>三、机关运行经费增减变动原因说明</w:t>
      </w:r>
    </w:p>
    <w:p>
      <w:pPr>
        <w:widowControl w:val="0"/>
        <w:wordWrap/>
        <w:adjustRightInd/>
        <w:snapToGrid/>
        <w:spacing w:before="0" w:after="0" w:line="580" w:lineRule="exact"/>
        <w:ind w:left="0" w:leftChars="0" w:right="0" w:firstLine="592" w:firstLineChars="200"/>
        <w:textAlignment w:val="bottom"/>
        <w:outlineLvl w:val="9"/>
        <w:rPr>
          <w:rFonts w:hint="eastAsia" w:ascii="仿宋_GB2312" w:hAnsi="仿宋_GB2312" w:eastAsia="仿宋_GB2312" w:cs="仿宋_GB2312"/>
          <w:spacing w:val="-12"/>
          <w:sz w:val="32"/>
          <w:szCs w:val="32"/>
          <w:lang w:val="en-US" w:eastAsia="zh-CN"/>
        </w:rPr>
      </w:pPr>
      <w:r>
        <w:rPr>
          <w:rFonts w:hint="eastAsia" w:ascii="仿宋_GB2312" w:hAnsi="仿宋_GB2312" w:eastAsia="仿宋_GB2312" w:cs="仿宋_GB2312"/>
          <w:spacing w:val="-12"/>
          <w:sz w:val="32"/>
          <w:szCs w:val="32"/>
          <w:lang w:val="en-US" w:eastAsia="zh-CN"/>
        </w:rPr>
        <w:t>长治市科协2018年机关运行经费财政拨款预算15.45万元。</w:t>
      </w:r>
    </w:p>
    <w:p>
      <w:pPr>
        <w:widowControl w:val="0"/>
        <w:wordWrap/>
        <w:adjustRightInd/>
        <w:snapToGrid/>
        <w:spacing w:before="0" w:after="0" w:line="580" w:lineRule="exact"/>
        <w:ind w:left="0" w:leftChars="0" w:right="0"/>
        <w:outlineLvl w:val="9"/>
        <w:rPr>
          <w:rFonts w:ascii="楷体" w:hAnsi="楷体" w:eastAsia="楷体"/>
          <w:b/>
          <w:bCs/>
          <w:sz w:val="32"/>
          <w:szCs w:val="32"/>
        </w:rPr>
      </w:pPr>
      <w:r>
        <w:rPr>
          <w:rFonts w:hint="eastAsia" w:ascii="楷体" w:hAnsi="楷体" w:eastAsia="楷体"/>
          <w:sz w:val="32"/>
          <w:szCs w:val="32"/>
          <w:lang w:val="en-US" w:eastAsia="zh-CN"/>
        </w:rPr>
        <w:t xml:space="preserve">    </w:t>
      </w:r>
      <w:r>
        <w:rPr>
          <w:rFonts w:hint="eastAsia" w:ascii="楷体" w:hAnsi="楷体" w:eastAsia="楷体"/>
          <w:b/>
          <w:bCs/>
          <w:sz w:val="32"/>
          <w:szCs w:val="32"/>
        </w:rPr>
        <w:t>四、其他说明</w:t>
      </w:r>
    </w:p>
    <w:p>
      <w:pPr>
        <w:widowControl w:val="0"/>
        <w:wordWrap/>
        <w:adjustRightInd/>
        <w:snapToGrid/>
        <w:spacing w:before="0" w:after="0" w:line="580" w:lineRule="exact"/>
        <w:ind w:left="0" w:leftChars="0" w:right="0" w:firstLine="636"/>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widowControl w:val="0"/>
        <w:wordWrap/>
        <w:adjustRightInd/>
        <w:snapToGrid/>
        <w:spacing w:before="0" w:after="0" w:line="580" w:lineRule="exact"/>
        <w:ind w:left="0" w:leftChars="0" w:right="0" w:firstLine="640" w:firstLineChars="200"/>
        <w:textAlignment w:val="bottom"/>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2018年长治市科协政府采购预算总额8.9万元，其中：政府采购货物预算0.5万元、政府采购服务预算8.4万元。</w:t>
      </w:r>
    </w:p>
    <w:p>
      <w:pPr>
        <w:ind w:firstLine="636"/>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（二）政府购买服务指导性目录</w:t>
      </w:r>
      <w:r>
        <w:rPr>
          <w:rFonts w:hint="eastAsia" w:ascii="楷体_GB2312" w:hAnsi="楷体_GB2312" w:eastAsia="楷体_GB2312" w:cs="楷体_GB2312"/>
          <w:sz w:val="32"/>
          <w:szCs w:val="32"/>
          <w:lang w:val="en-US" w:eastAsia="zh-CN"/>
        </w:rPr>
        <w:t>:无</w:t>
      </w:r>
    </w:p>
    <w:p>
      <w:pPr>
        <w:widowControl w:val="0"/>
        <w:wordWrap/>
        <w:adjustRightInd/>
        <w:snapToGrid/>
        <w:spacing w:before="0" w:after="0" w:line="580" w:lineRule="exact"/>
        <w:ind w:left="0" w:leftChars="0" w:right="0" w:firstLine="636"/>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）国有资产占有使用情况</w:t>
      </w: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1.车辆情况</w:t>
      </w:r>
      <w:r>
        <w:rPr>
          <w:rFonts w:hint="eastAsia" w:ascii="仿宋_GB2312" w:hAnsi="仿宋_GB2312" w:eastAsia="仿宋_GB2312" w:cs="仿宋_GB2312"/>
          <w:sz w:val="32"/>
          <w:szCs w:val="32"/>
          <w:lang w:eastAsia="zh-CN"/>
        </w:rPr>
        <w:t>：单位现有车辆</w:t>
      </w:r>
      <w:r>
        <w:rPr>
          <w:rFonts w:hint="eastAsia" w:ascii="仿宋_GB2312" w:hAnsi="仿宋_GB2312" w:eastAsia="仿宋_GB2312" w:cs="仿宋_GB2312"/>
          <w:sz w:val="32"/>
          <w:szCs w:val="32"/>
          <w:lang w:val="en-US" w:eastAsia="zh-CN"/>
        </w:rPr>
        <w:t>2辆，其中科普大篷车一辆，车号晋D57383，价值70万元；一般公务用车一辆，丰田凯美瑞，车号晋DA0880，价值19.68万元。</w:t>
      </w: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2.房屋情况</w:t>
      </w:r>
      <w:r>
        <w:rPr>
          <w:rFonts w:hint="eastAsia" w:ascii="仿宋_GB2312" w:hAnsi="仿宋_GB2312" w:eastAsia="仿宋_GB2312" w:cs="仿宋_GB2312"/>
          <w:sz w:val="32"/>
          <w:szCs w:val="32"/>
          <w:lang w:eastAsia="zh-CN"/>
        </w:rPr>
        <w:t>：共有办公用房</w:t>
      </w:r>
      <w:r>
        <w:rPr>
          <w:rFonts w:hint="eastAsia" w:ascii="仿宋_GB2312" w:hAnsi="仿宋_GB2312" w:eastAsia="仿宋_GB2312" w:cs="仿宋_GB2312"/>
          <w:sz w:val="32"/>
          <w:szCs w:val="32"/>
          <w:lang w:val="en-US" w:eastAsia="zh-CN"/>
        </w:rPr>
        <w:t>16间，使用面积300平方米。</w:t>
      </w:r>
    </w:p>
    <w:p>
      <w:pPr>
        <w:ind w:firstLine="636"/>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3.其他国有资产占有使用情况</w:t>
      </w:r>
      <w:r>
        <w:rPr>
          <w:rFonts w:hint="eastAsia" w:ascii="楷体_GB2312" w:hAnsi="楷体_GB2312" w:eastAsia="楷体_GB2312" w:cs="楷体_GB2312"/>
          <w:sz w:val="32"/>
          <w:szCs w:val="32"/>
          <w:lang w:eastAsia="zh-CN"/>
        </w:rPr>
        <w:t>：无</w:t>
      </w:r>
      <w:r>
        <w:rPr>
          <w:rFonts w:hint="eastAsia" w:ascii="楷体_GB2312" w:hAnsi="楷体_GB2312" w:eastAsia="楷体_GB2312" w:cs="楷体_GB2312"/>
          <w:sz w:val="32"/>
          <w:szCs w:val="32"/>
        </w:rPr>
        <w:t>。</w:t>
      </w:r>
    </w:p>
    <w:p>
      <w:pPr>
        <w:widowControl w:val="0"/>
        <w:wordWrap/>
        <w:adjustRightInd/>
        <w:snapToGrid/>
        <w:spacing w:before="0" w:after="0" w:line="580" w:lineRule="exact"/>
        <w:ind w:left="0" w:leftChars="0" w:right="0" w:firstLine="636"/>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）绩效管理情况</w:t>
      </w: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长治市科协</w:t>
      </w:r>
      <w:r>
        <w:rPr>
          <w:rFonts w:hint="eastAsia" w:ascii="仿宋_GB2312" w:hAnsi="仿宋_GB2312" w:eastAsia="仿宋_GB2312" w:cs="仿宋_GB2312"/>
          <w:sz w:val="32"/>
          <w:szCs w:val="32"/>
        </w:rPr>
        <w:t>实行绩效目标管理的项目</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个，涉及一般公共预算当年拨款</w:t>
      </w:r>
      <w:r>
        <w:rPr>
          <w:rFonts w:hint="eastAsia" w:ascii="仿宋_GB2312" w:hAnsi="仿宋_GB2312" w:eastAsia="仿宋_GB2312" w:cs="仿宋_GB2312"/>
          <w:sz w:val="32"/>
          <w:szCs w:val="32"/>
          <w:lang w:val="en-US" w:eastAsia="zh-CN"/>
        </w:rPr>
        <w:t>50.5</w:t>
      </w:r>
      <w:r>
        <w:rPr>
          <w:rFonts w:hint="eastAsia" w:ascii="仿宋_GB2312" w:hAnsi="仿宋_GB2312" w:eastAsia="仿宋_GB2312" w:cs="仿宋_GB2312"/>
          <w:sz w:val="32"/>
          <w:szCs w:val="32"/>
        </w:rPr>
        <w:t>万元。</w:t>
      </w:r>
    </w:p>
    <w:p>
      <w:pPr>
        <w:numPr>
          <w:ilvl w:val="0"/>
          <w:numId w:val="1"/>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非税收入和基金执收情况：无</w:t>
      </w:r>
    </w:p>
    <w:p>
      <w:pPr>
        <w:numPr>
          <w:ilvl w:val="0"/>
          <w:numId w:val="1"/>
        </w:numPr>
        <w:ind w:firstLine="636"/>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其他</w:t>
      </w:r>
      <w:r>
        <w:rPr>
          <w:rFonts w:hint="eastAsia" w:ascii="楷体_GB2312" w:hAnsi="楷体_GB2312" w:eastAsia="楷体_GB2312" w:cs="楷体_GB2312"/>
          <w:sz w:val="32"/>
          <w:szCs w:val="32"/>
          <w:lang w:val="en-US" w:eastAsia="zh-CN"/>
        </w:rPr>
        <w:t>:无</w:t>
      </w:r>
      <w:bookmarkStart w:id="0" w:name="_GoBack"/>
      <w:bookmarkEnd w:id="0"/>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rPr>
      </w:pP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rPr>
      </w:pP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rPr>
      </w:pP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长治市科学技术协会</w:t>
      </w:r>
    </w:p>
    <w:p>
      <w:pPr>
        <w:widowControl w:val="0"/>
        <w:wordWrap/>
        <w:adjustRightInd/>
        <w:snapToGrid/>
        <w:spacing w:before="0" w:after="0" w:line="580" w:lineRule="exact"/>
        <w:ind w:left="0" w:leftChars="0" w:right="0" w:firstLine="636"/>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2018年12月28日</w:t>
      </w:r>
    </w:p>
    <w:p>
      <w:pPr>
        <w:widowControl w:val="0"/>
        <w:wordWrap/>
        <w:adjustRightInd/>
        <w:snapToGrid/>
        <w:spacing w:before="0" w:after="0" w:line="580" w:lineRule="exact"/>
        <w:ind w:left="0" w:leftChars="0" w:right="0"/>
        <w:outlineLvl w:val="9"/>
        <w:rPr>
          <w:rFonts w:hint="eastAsia" w:ascii="楷体_GB2312" w:hAnsi="楷体_GB2312" w:eastAsia="楷体_GB2312" w:cs="楷体_GB2312"/>
          <w:sz w:val="32"/>
          <w:szCs w:val="32"/>
        </w:rPr>
      </w:pPr>
    </w:p>
    <w:sectPr>
      <w:footerReference r:id="rId3" w:type="default"/>
      <w:footerReference r:id="rId4" w:type="even"/>
      <w:pgSz w:w="11906" w:h="16838"/>
      <w:pgMar w:top="2234" w:right="1800" w:bottom="1723" w:left="1800" w:header="851" w:footer="992" w:gutter="0"/>
      <w:paperSrc/>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Calibri">
    <w:altName w:val="Century Gothic"/>
    <w:panose1 w:val="020F0502020204030204"/>
    <w:charset w:val="01"/>
    <w:family w:val="auto"/>
    <w:pitch w:val="default"/>
    <w:sig w:usb0="00000000" w:usb1="00000000" w:usb2="00000000" w:usb3="00000000" w:csb0="2000009F" w:csb1="00000000"/>
  </w:font>
  <w:font w:name="仿宋">
    <w:altName w:val="宋体"/>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Century Gothic">
    <w:panose1 w:val="020B0502020202020204"/>
    <w:charset w:val="01"/>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eastAsia="宋体" w:cs="黑体"/>
        <w:kern w:val="2"/>
        <w:sz w:val="18"/>
        <w:szCs w:val="18"/>
        <w:lang w:val="en-US" w:eastAsia="zh-CN" w:bidi="ar-SA"/>
      </w:rPr>
      <w:pict>
        <v:shape id="_x0000_s2049" o:spid="_x0000_s2049" o:spt="202" type="#_x0000_t202"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90448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page number"/>
    <w:basedOn w:val="4"/>
    <w:qFormat/>
    <w:uiPriority w:val="0"/>
  </w:style>
  <w:style w:type="character" w:customStyle="1" w:styleId="7">
    <w:name w:val="页眉 Char Char"/>
    <w:basedOn w:val="4"/>
    <w:link w:val="3"/>
    <w:uiPriority w:val="99"/>
    <w:rPr>
      <w:sz w:val="18"/>
      <w:szCs w:val="18"/>
    </w:rPr>
  </w:style>
  <w:style w:type="character" w:customStyle="1" w:styleId="8">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2017-04-21T07:35:00Z</cp:lastPrinted>
  <dcterms:modified xsi:type="dcterms:W3CDTF">2018-12-28T10:10:21Z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