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jc w:val="center"/>
        <w:rPr>
          <w:rFonts w:hint="eastAsia" w:ascii="方正小标宋简体" w:hAnsi="Times New Roman" w:eastAsia="方正小标宋简体" w:cs="Times New Roman"/>
          <w:b w:val="0"/>
          <w:bCs/>
        </w:rPr>
      </w:pPr>
    </w:p>
    <w:p>
      <w:pPr>
        <w:pStyle w:val="2"/>
        <w:jc w:val="center"/>
        <w:rPr>
          <w:rFonts w:ascii="方正小标宋简体" w:hAnsi="Times New Roman" w:eastAsia="方正小标宋简体" w:cs="Times New Roman"/>
          <w:b w:val="0"/>
          <w:bCs/>
        </w:rPr>
      </w:pPr>
      <w:r>
        <w:rPr>
          <w:rFonts w:hint="eastAsia" w:ascii="方正小标宋简体" w:hAnsi="Times New Roman" w:eastAsia="方正小标宋简体" w:cs="Times New Roman"/>
          <w:b w:val="0"/>
          <w:bCs/>
        </w:rPr>
        <w:t>20</w:t>
      </w:r>
      <w:r>
        <w:rPr>
          <w:rFonts w:hint="eastAsia" w:ascii="方正小标宋简体" w:hAnsi="Times New Roman" w:eastAsia="方正小标宋简体" w:cs="Times New Roman"/>
          <w:b w:val="0"/>
          <w:bCs/>
          <w:lang w:val="en-US" w:eastAsia="zh-CN"/>
        </w:rPr>
        <w:t>18</w:t>
      </w:r>
      <w:r>
        <w:rPr>
          <w:rFonts w:hint="eastAsia" w:ascii="方正小标宋简体" w:hAnsi="Times New Roman" w:eastAsia="方正小标宋简体" w:cs="Times New Roman"/>
          <w:b w:val="0"/>
          <w:bCs/>
        </w:rPr>
        <w:t>年政府</w:t>
      </w:r>
      <w:r>
        <w:rPr>
          <w:rFonts w:hint="eastAsia" w:ascii="方正小标宋简体" w:hAnsi="Times New Roman" w:eastAsia="方正小标宋简体" w:cs="Times New Roman"/>
          <w:b w:val="0"/>
          <w:bCs/>
          <w:lang w:val="en-US" w:eastAsia="zh-CN"/>
        </w:rPr>
        <w:t>决算</w:t>
      </w:r>
      <w:r>
        <w:rPr>
          <w:rFonts w:hint="eastAsia" w:ascii="方正小标宋简体" w:hAnsi="Times New Roman" w:eastAsia="方正小标宋简体" w:cs="Times New Roman"/>
          <w:b w:val="0"/>
          <w:bCs/>
        </w:rPr>
        <w:t>公开相关说明</w:t>
      </w:r>
    </w:p>
    <w:p>
      <w:pPr>
        <w:ind w:firstLine="420"/>
        <w:rPr>
          <w:rFonts w:ascii="Times New Roman" w:hAnsi="Times New Roman" w:eastAsia="仿宋_GB2312" w:cs="Times New Roman"/>
          <w:sz w:val="32"/>
          <w:szCs w:val="32"/>
        </w:rPr>
      </w:pPr>
    </w:p>
    <w:p>
      <w:pPr>
        <w:ind w:firstLine="420"/>
        <w:rPr>
          <w:rFonts w:hint="eastAsia" w:ascii="Times New Roman" w:hAnsi="Times New Roman" w:eastAsia="黑体" w:cs="Times New Roman"/>
          <w:sz w:val="32"/>
          <w:szCs w:val="32"/>
          <w:lang w:val="en-US" w:eastAsia="zh-CN"/>
        </w:rPr>
      </w:pPr>
      <w:r>
        <w:rPr>
          <w:rFonts w:ascii="Times New Roman" w:hAnsi="Times New Roman" w:eastAsia="仿宋_GB2312" w:cs="Times New Roman"/>
          <w:sz w:val="32"/>
          <w:szCs w:val="32"/>
        </w:rPr>
        <w:t xml:space="preserve"> 根据《财政部关于印发&lt;地方预决算公开操作规程&gt;的通知》（财预〔201</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〕143号）文件精神，为方便社会公众对我市20</w:t>
      </w:r>
      <w:r>
        <w:rPr>
          <w:rFonts w:hint="eastAsia" w:ascii="Times New Roman" w:hAnsi="Times New Roman" w:eastAsia="仿宋_GB2312" w:cs="Times New Roman"/>
          <w:sz w:val="32"/>
          <w:szCs w:val="32"/>
          <w:lang w:val="en-US" w:eastAsia="zh-CN"/>
        </w:rPr>
        <w:t>18</w:t>
      </w:r>
      <w:r>
        <w:rPr>
          <w:rFonts w:ascii="Times New Roman" w:hAnsi="Times New Roman" w:eastAsia="仿宋_GB2312" w:cs="Times New Roman"/>
          <w:sz w:val="32"/>
          <w:szCs w:val="32"/>
        </w:rPr>
        <w:t>年政府</w:t>
      </w:r>
      <w:r>
        <w:rPr>
          <w:rFonts w:hint="eastAsia" w:ascii="Times New Roman" w:hAnsi="Times New Roman" w:eastAsia="仿宋_GB2312" w:cs="Times New Roman"/>
          <w:sz w:val="32"/>
          <w:szCs w:val="32"/>
          <w:lang w:val="en-US" w:eastAsia="zh-CN"/>
        </w:rPr>
        <w:t>决算</w:t>
      </w:r>
      <w:r>
        <w:rPr>
          <w:rFonts w:ascii="Times New Roman" w:hAnsi="Times New Roman" w:eastAsia="仿宋_GB2312" w:cs="Times New Roman"/>
          <w:sz w:val="32"/>
          <w:szCs w:val="32"/>
        </w:rPr>
        <w:t>的理解和监督，现将有关重要事项说明如下：</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一</w:t>
      </w:r>
      <w:r>
        <w:rPr>
          <w:rFonts w:hint="eastAsia" w:ascii="Times New Roman" w:hAnsi="Times New Roman" w:eastAsia="黑体" w:cs="Times New Roman"/>
          <w:sz w:val="32"/>
          <w:szCs w:val="32"/>
        </w:rPr>
        <w:t>、</w:t>
      </w:r>
      <w:r>
        <w:rPr>
          <w:rFonts w:ascii="Times New Roman" w:hAnsi="Times New Roman" w:eastAsia="黑体" w:cs="Times New Roman"/>
          <w:sz w:val="32"/>
          <w:szCs w:val="32"/>
        </w:rPr>
        <w:t>财政转移支付</w:t>
      </w:r>
      <w:r>
        <w:rPr>
          <w:rFonts w:hint="eastAsia" w:ascii="Times New Roman" w:hAnsi="Times New Roman" w:eastAsia="黑体" w:cs="Times New Roman"/>
          <w:sz w:val="32"/>
          <w:szCs w:val="32"/>
          <w:lang w:val="en-US" w:eastAsia="zh-CN"/>
        </w:rPr>
        <w:t>执行</w:t>
      </w:r>
      <w:r>
        <w:rPr>
          <w:rFonts w:ascii="Times New Roman" w:hAnsi="Times New Roman" w:eastAsia="黑体" w:cs="Times New Roman"/>
          <w:sz w:val="32"/>
          <w:szCs w:val="32"/>
        </w:rPr>
        <w:t>情况说明</w:t>
      </w:r>
    </w:p>
    <w:p>
      <w:pPr>
        <w:widowControl w:val="0"/>
        <w:wordWrap/>
        <w:adjustRightInd/>
        <w:snapToGrid/>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县区</w:t>
      </w:r>
      <w:r>
        <w:rPr>
          <w:rFonts w:hint="eastAsia" w:ascii="仿宋_GB2312" w:hAnsi="仿宋_GB2312" w:eastAsia="仿宋_GB2312" w:cs="仿宋_GB2312"/>
          <w:sz w:val="32"/>
          <w:szCs w:val="32"/>
        </w:rPr>
        <w:t>税收返还和转移支付决算</w:t>
      </w:r>
      <w:r>
        <w:rPr>
          <w:rFonts w:hint="eastAsia" w:ascii="仿宋_GB2312" w:hAnsi="仿宋_GB2312" w:eastAsia="仿宋_GB2312" w:cs="仿宋_GB2312"/>
          <w:sz w:val="32"/>
          <w:szCs w:val="32"/>
          <w:lang w:val="en-US" w:eastAsia="zh-CN"/>
        </w:rPr>
        <w:t>128.66</w:t>
      </w:r>
      <w:r>
        <w:rPr>
          <w:rFonts w:hint="eastAsia" w:ascii="仿宋_GB2312" w:hAnsi="仿宋_GB2312" w:eastAsia="仿宋_GB2312" w:cs="仿宋_GB2312"/>
          <w:sz w:val="32"/>
          <w:szCs w:val="32"/>
        </w:rPr>
        <w:t>亿元，具体安排情况如下：</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返还性支出</w:t>
      </w:r>
      <w:r>
        <w:rPr>
          <w:rFonts w:hint="eastAsia" w:ascii="仿宋_GB2312" w:hAnsi="仿宋_GB2312" w:eastAsia="仿宋_GB2312" w:cs="仿宋_GB2312"/>
          <w:sz w:val="32"/>
          <w:szCs w:val="32"/>
          <w:lang w:val="en-US" w:eastAsia="zh-CN"/>
        </w:rPr>
        <w:t>1.67</w:t>
      </w:r>
      <w:r>
        <w:rPr>
          <w:rFonts w:hint="eastAsia" w:ascii="仿宋_GB2312" w:hAnsi="仿宋_GB2312" w:eastAsia="仿宋_GB2312" w:cs="仿宋_GB2312"/>
          <w:sz w:val="32"/>
          <w:szCs w:val="32"/>
        </w:rPr>
        <w:t>亿元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具体项目安排情况见决算表。</w:t>
      </w:r>
    </w:p>
    <w:p>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2、一般性转移支付支出</w:t>
      </w:r>
      <w:r>
        <w:rPr>
          <w:rFonts w:hint="eastAsia" w:ascii="仿宋_GB2312" w:hAnsi="仿宋_GB2312" w:eastAsia="仿宋_GB2312" w:cs="仿宋_GB2312"/>
          <w:sz w:val="32"/>
          <w:szCs w:val="32"/>
          <w:lang w:val="en-US" w:eastAsia="zh-CN"/>
        </w:rPr>
        <w:t>75.22</w:t>
      </w:r>
      <w:r>
        <w:rPr>
          <w:rFonts w:hint="eastAsia" w:ascii="仿宋_GB2312" w:hAnsi="仿宋_GB2312" w:eastAsia="仿宋_GB2312" w:cs="仿宋_GB2312"/>
          <w:sz w:val="32"/>
          <w:szCs w:val="32"/>
        </w:rPr>
        <w:t>亿元，主要是</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级统筹中央</w:t>
      </w:r>
      <w:r>
        <w:rPr>
          <w:rFonts w:hint="eastAsia" w:ascii="仿宋_GB2312" w:hAnsi="仿宋_GB2312" w:eastAsia="仿宋_GB2312" w:cs="仿宋_GB2312"/>
          <w:sz w:val="32"/>
          <w:szCs w:val="32"/>
          <w:lang w:eastAsia="zh-CN"/>
        </w:rPr>
        <w:t>和省级</w:t>
      </w:r>
      <w:r>
        <w:rPr>
          <w:rFonts w:hint="eastAsia" w:ascii="仿宋_GB2312" w:hAnsi="仿宋_GB2312" w:eastAsia="仿宋_GB2312" w:cs="仿宋_GB2312"/>
          <w:sz w:val="32"/>
          <w:szCs w:val="32"/>
        </w:rPr>
        <w:t>补助等资金，通过一般转移支付安排的补助县</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资金，其中：体制补助支出</w:t>
      </w:r>
      <w:r>
        <w:rPr>
          <w:rFonts w:hint="eastAsia" w:ascii="仿宋_GB2312" w:hAnsi="仿宋_GB2312" w:eastAsia="仿宋_GB2312" w:cs="仿宋_GB2312"/>
          <w:sz w:val="32"/>
          <w:szCs w:val="32"/>
          <w:lang w:val="en-US" w:eastAsia="zh-CN"/>
        </w:rPr>
        <w:t>2910万</w:t>
      </w:r>
      <w:r>
        <w:rPr>
          <w:rFonts w:hint="eastAsia" w:ascii="仿宋_GB2312" w:hAnsi="仿宋_GB2312" w:eastAsia="仿宋_GB2312" w:cs="仿宋_GB2312"/>
          <w:sz w:val="32"/>
          <w:szCs w:val="32"/>
        </w:rPr>
        <w:t>元，均衡性转移支付支出</w:t>
      </w:r>
      <w:r>
        <w:rPr>
          <w:rFonts w:hint="eastAsia" w:ascii="仿宋_GB2312" w:hAnsi="仿宋_GB2312" w:eastAsia="仿宋_GB2312" w:cs="仿宋_GB2312"/>
          <w:sz w:val="32"/>
          <w:szCs w:val="32"/>
          <w:lang w:val="en-US" w:eastAsia="zh-CN"/>
        </w:rPr>
        <w:t>34.72</w:t>
      </w:r>
      <w:r>
        <w:rPr>
          <w:rFonts w:hint="eastAsia" w:ascii="仿宋_GB2312" w:hAnsi="仿宋_GB2312" w:eastAsia="仿宋_GB2312" w:cs="仿宋_GB2312"/>
          <w:sz w:val="32"/>
          <w:szCs w:val="32"/>
        </w:rPr>
        <w:t>亿元，革命老区转移支付支出</w:t>
      </w:r>
      <w:r>
        <w:rPr>
          <w:rFonts w:hint="eastAsia" w:ascii="仿宋_GB2312" w:hAnsi="仿宋_GB2312" w:eastAsia="仿宋_GB2312" w:cs="仿宋_GB2312"/>
          <w:sz w:val="32"/>
          <w:szCs w:val="32"/>
          <w:lang w:val="en-US" w:eastAsia="zh-CN"/>
        </w:rPr>
        <w:t>5603万</w:t>
      </w:r>
      <w:r>
        <w:rPr>
          <w:rFonts w:hint="eastAsia" w:ascii="仿宋_GB2312" w:hAnsi="仿宋_GB2312" w:eastAsia="仿宋_GB2312" w:cs="仿宋_GB2312"/>
          <w:sz w:val="32"/>
          <w:szCs w:val="32"/>
        </w:rPr>
        <w:t>元，贫困地区转移支付支出</w:t>
      </w:r>
      <w:r>
        <w:rPr>
          <w:rFonts w:hint="eastAsia" w:ascii="仿宋_GB2312" w:hAnsi="仿宋_GB2312" w:eastAsia="仿宋_GB2312" w:cs="仿宋_GB2312"/>
          <w:sz w:val="32"/>
          <w:szCs w:val="32"/>
          <w:lang w:val="en-US" w:eastAsia="zh-CN"/>
        </w:rPr>
        <w:t>4.22</w:t>
      </w:r>
      <w:r>
        <w:rPr>
          <w:rFonts w:hint="eastAsia" w:ascii="仿宋_GB2312" w:hAnsi="仿宋_GB2312" w:eastAsia="仿宋_GB2312" w:cs="仿宋_GB2312"/>
          <w:sz w:val="32"/>
          <w:szCs w:val="32"/>
        </w:rPr>
        <w:t>亿元，固定数额补助支出</w:t>
      </w:r>
      <w:r>
        <w:rPr>
          <w:rFonts w:hint="eastAsia" w:ascii="仿宋_GB2312" w:hAnsi="仿宋_GB2312" w:eastAsia="仿宋_GB2312" w:cs="仿宋_GB2312"/>
          <w:sz w:val="32"/>
          <w:szCs w:val="32"/>
          <w:lang w:val="en-US" w:eastAsia="zh-CN"/>
        </w:rPr>
        <w:t>8.68</w:t>
      </w:r>
      <w:r>
        <w:rPr>
          <w:rFonts w:hint="eastAsia" w:ascii="仿宋_GB2312" w:hAnsi="仿宋_GB2312" w:eastAsia="仿宋_GB2312" w:cs="仿宋_GB2312"/>
          <w:sz w:val="32"/>
          <w:szCs w:val="32"/>
        </w:rPr>
        <w:t>亿元，县级基本财力保障机制奖补资金支出</w:t>
      </w:r>
      <w:r>
        <w:rPr>
          <w:rFonts w:hint="eastAsia" w:ascii="仿宋_GB2312" w:hAnsi="仿宋_GB2312" w:eastAsia="仿宋_GB2312" w:cs="仿宋_GB2312"/>
          <w:sz w:val="32"/>
          <w:szCs w:val="32"/>
          <w:lang w:val="en-US" w:eastAsia="zh-CN"/>
        </w:rPr>
        <w:t>6.03</w:t>
      </w:r>
      <w:r>
        <w:rPr>
          <w:rFonts w:hint="eastAsia" w:ascii="仿宋_GB2312" w:hAnsi="仿宋_GB2312" w:eastAsia="仿宋_GB2312" w:cs="仿宋_GB2312"/>
          <w:sz w:val="32"/>
          <w:szCs w:val="32"/>
        </w:rPr>
        <w:t>亿元，产粮（油）大县奖励资金支出</w:t>
      </w:r>
      <w:r>
        <w:rPr>
          <w:rFonts w:hint="eastAsia" w:ascii="仿宋_GB2312" w:hAnsi="仿宋_GB2312" w:eastAsia="仿宋_GB2312" w:cs="仿宋_GB2312"/>
          <w:sz w:val="32"/>
          <w:szCs w:val="32"/>
          <w:lang w:val="en-US" w:eastAsia="zh-CN"/>
        </w:rPr>
        <w:t>6006万</w:t>
      </w:r>
      <w:r>
        <w:rPr>
          <w:rFonts w:hint="eastAsia" w:ascii="仿宋_GB2312" w:hAnsi="仿宋_GB2312" w:eastAsia="仿宋_GB2312" w:cs="仿宋_GB2312"/>
          <w:sz w:val="32"/>
          <w:szCs w:val="32"/>
        </w:rPr>
        <w:t>元，重点生态功能区转移支付支出</w:t>
      </w:r>
      <w:r>
        <w:rPr>
          <w:rFonts w:hint="eastAsia" w:ascii="仿宋_GB2312" w:hAnsi="仿宋_GB2312" w:eastAsia="仿宋_GB2312" w:cs="仿宋_GB2312"/>
          <w:sz w:val="32"/>
          <w:szCs w:val="32"/>
          <w:lang w:val="en-US" w:eastAsia="zh-CN"/>
        </w:rPr>
        <w:t>1969万</w:t>
      </w:r>
      <w:r>
        <w:rPr>
          <w:rFonts w:hint="eastAsia" w:ascii="仿宋_GB2312" w:hAnsi="仿宋_GB2312" w:eastAsia="仿宋_GB2312" w:cs="仿宋_GB2312"/>
          <w:sz w:val="32"/>
          <w:szCs w:val="32"/>
        </w:rPr>
        <w:t>元，资源枯竭型城市转移支付补助支出</w:t>
      </w:r>
      <w:r>
        <w:rPr>
          <w:rFonts w:hint="eastAsia" w:ascii="仿宋_GB2312" w:hAnsi="仿宋_GB2312" w:eastAsia="仿宋_GB2312" w:cs="仿宋_GB2312"/>
          <w:sz w:val="32"/>
          <w:szCs w:val="32"/>
          <w:lang w:val="en-US" w:eastAsia="zh-CN"/>
        </w:rPr>
        <w:t>5498万</w:t>
      </w:r>
      <w:r>
        <w:rPr>
          <w:rFonts w:hint="eastAsia" w:ascii="仿宋_GB2312" w:hAnsi="仿宋_GB2312" w:eastAsia="仿宋_GB2312" w:cs="仿宋_GB2312"/>
          <w:sz w:val="32"/>
          <w:szCs w:val="32"/>
        </w:rPr>
        <w:t>元，成品油税费改革转移支付补助支出</w:t>
      </w:r>
      <w:r>
        <w:rPr>
          <w:rFonts w:hint="eastAsia" w:ascii="仿宋_GB2312" w:hAnsi="仿宋_GB2312" w:eastAsia="仿宋_GB2312" w:cs="仿宋_GB2312"/>
          <w:sz w:val="32"/>
          <w:szCs w:val="32"/>
          <w:lang w:val="en-US" w:eastAsia="zh-CN"/>
        </w:rPr>
        <w:t>1515万</w:t>
      </w:r>
      <w:r>
        <w:rPr>
          <w:rFonts w:hint="eastAsia" w:ascii="仿宋_GB2312" w:hAnsi="仿宋_GB2312" w:eastAsia="仿宋_GB2312" w:cs="仿宋_GB2312"/>
          <w:sz w:val="32"/>
          <w:szCs w:val="32"/>
        </w:rPr>
        <w:t>元，基层公检法司转移支付支出</w:t>
      </w:r>
      <w:r>
        <w:rPr>
          <w:rFonts w:hint="eastAsia" w:ascii="仿宋_GB2312" w:hAnsi="仿宋_GB2312" w:eastAsia="仿宋_GB2312" w:cs="仿宋_GB2312"/>
          <w:sz w:val="32"/>
          <w:szCs w:val="32"/>
          <w:lang w:val="en-US" w:eastAsia="zh-CN"/>
        </w:rPr>
        <w:t>8878万</w:t>
      </w:r>
      <w:r>
        <w:rPr>
          <w:rFonts w:hint="eastAsia" w:ascii="仿宋_GB2312" w:hAnsi="仿宋_GB2312" w:eastAsia="仿宋_GB2312" w:cs="仿宋_GB2312"/>
          <w:sz w:val="32"/>
          <w:szCs w:val="32"/>
        </w:rPr>
        <w:t>元，城乡义务教育转移支付支出</w:t>
      </w:r>
      <w:r>
        <w:rPr>
          <w:rFonts w:hint="eastAsia" w:ascii="仿宋_GB2312" w:hAnsi="仿宋_GB2312" w:eastAsia="仿宋_GB2312" w:cs="仿宋_GB2312"/>
          <w:sz w:val="32"/>
          <w:szCs w:val="32"/>
          <w:lang w:val="en-US" w:eastAsia="zh-CN"/>
        </w:rPr>
        <w:t>3.58亿</w:t>
      </w:r>
      <w:r>
        <w:rPr>
          <w:rFonts w:hint="eastAsia" w:ascii="仿宋_GB2312" w:hAnsi="仿宋_GB2312" w:eastAsia="仿宋_GB2312" w:cs="仿宋_GB2312"/>
          <w:sz w:val="32"/>
          <w:szCs w:val="32"/>
        </w:rPr>
        <w:t>元，基本养老金转移支付支出</w:t>
      </w:r>
      <w:r>
        <w:rPr>
          <w:rFonts w:hint="eastAsia" w:ascii="仿宋_GB2312" w:hAnsi="仿宋_GB2312" w:eastAsia="仿宋_GB2312" w:cs="仿宋_GB2312"/>
          <w:sz w:val="32"/>
          <w:szCs w:val="32"/>
          <w:lang w:val="en-US" w:eastAsia="zh-CN"/>
        </w:rPr>
        <w:t>5.74</w:t>
      </w:r>
      <w:r>
        <w:rPr>
          <w:rFonts w:hint="eastAsia" w:ascii="仿宋_GB2312" w:hAnsi="仿宋_GB2312" w:eastAsia="仿宋_GB2312" w:cs="仿宋_GB2312"/>
          <w:sz w:val="32"/>
          <w:szCs w:val="32"/>
        </w:rPr>
        <w:t>亿元，农村综合改革转移支付支出</w:t>
      </w:r>
      <w:r>
        <w:rPr>
          <w:rFonts w:hint="eastAsia" w:ascii="仿宋_GB2312" w:hAnsi="仿宋_GB2312" w:eastAsia="仿宋_GB2312" w:cs="仿宋_GB2312"/>
          <w:sz w:val="32"/>
          <w:szCs w:val="32"/>
          <w:lang w:val="en-US" w:eastAsia="zh-CN"/>
        </w:rPr>
        <w:t>4.03</w:t>
      </w:r>
      <w:r>
        <w:rPr>
          <w:rFonts w:hint="eastAsia" w:ascii="仿宋_GB2312" w:hAnsi="仿宋_GB2312" w:eastAsia="仿宋_GB2312" w:cs="仿宋_GB2312"/>
          <w:sz w:val="32"/>
          <w:szCs w:val="32"/>
        </w:rPr>
        <w:t>亿元，结算补助支出</w:t>
      </w:r>
      <w:r>
        <w:rPr>
          <w:rFonts w:hint="eastAsia" w:ascii="仿宋_GB2312" w:hAnsi="仿宋_GB2312" w:eastAsia="仿宋_GB2312" w:cs="仿宋_GB2312"/>
          <w:sz w:val="32"/>
          <w:szCs w:val="32"/>
          <w:lang w:val="en-US" w:eastAsia="zh-CN"/>
        </w:rPr>
        <w:t>3.54</w:t>
      </w:r>
      <w:r>
        <w:rPr>
          <w:rFonts w:hint="eastAsia" w:ascii="仿宋_GB2312" w:hAnsi="仿宋_GB2312" w:eastAsia="仿宋_GB2312" w:cs="仿宋_GB2312"/>
          <w:sz w:val="32"/>
          <w:szCs w:val="32"/>
        </w:rPr>
        <w:t>亿元，其他一般性转移支付支出</w:t>
      </w:r>
      <w:r>
        <w:rPr>
          <w:rFonts w:hint="eastAsia" w:ascii="仿宋_GB2312" w:hAnsi="仿宋_GB2312" w:eastAsia="仿宋_GB2312" w:cs="仿宋_GB2312"/>
          <w:sz w:val="32"/>
          <w:szCs w:val="32"/>
          <w:lang w:val="en-US" w:eastAsia="zh-CN"/>
        </w:rPr>
        <w:t>1.44</w:t>
      </w:r>
      <w:r>
        <w:rPr>
          <w:rFonts w:hint="eastAsia" w:ascii="仿宋_GB2312" w:hAnsi="仿宋_GB2312" w:eastAsia="仿宋_GB2312" w:cs="仿宋_GB2312"/>
          <w:sz w:val="32"/>
          <w:szCs w:val="32"/>
        </w:rPr>
        <w:t>亿元。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3、专项转移支付支出</w:t>
      </w:r>
      <w:r>
        <w:rPr>
          <w:rFonts w:hint="eastAsia" w:ascii="仿宋_GB2312" w:hAnsi="仿宋_GB2312" w:eastAsia="仿宋_GB2312" w:cs="仿宋_GB2312"/>
          <w:sz w:val="32"/>
          <w:szCs w:val="32"/>
          <w:lang w:val="en-US" w:eastAsia="zh-CN"/>
        </w:rPr>
        <w:t>51.77</w:t>
      </w:r>
      <w:r>
        <w:rPr>
          <w:rFonts w:hint="eastAsia" w:ascii="仿宋_GB2312" w:hAnsi="仿宋_GB2312" w:eastAsia="仿宋_GB2312" w:cs="仿宋_GB2312"/>
          <w:sz w:val="32"/>
          <w:szCs w:val="32"/>
        </w:rPr>
        <w:t>亿元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具体项目安排情况见决算表。</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二</w:t>
      </w:r>
      <w:r>
        <w:rPr>
          <w:rFonts w:hint="eastAsia" w:ascii="Times New Roman" w:hAnsi="Times New Roman" w:eastAsia="黑体" w:cs="Times New Roman"/>
          <w:sz w:val="32"/>
          <w:szCs w:val="32"/>
        </w:rPr>
        <w:t>、</w:t>
      </w:r>
      <w:r>
        <w:rPr>
          <w:rFonts w:ascii="Times New Roman" w:hAnsi="Times New Roman" w:eastAsia="黑体" w:cs="Times New Roman"/>
          <w:sz w:val="32"/>
          <w:szCs w:val="32"/>
        </w:rPr>
        <w:t>举借</w:t>
      </w:r>
      <w:r>
        <w:rPr>
          <w:rFonts w:hint="eastAsia" w:ascii="Times New Roman" w:hAnsi="Times New Roman" w:eastAsia="黑体" w:cs="Times New Roman"/>
          <w:sz w:val="32"/>
          <w:szCs w:val="32"/>
          <w:lang w:val="en-US" w:eastAsia="zh-CN"/>
        </w:rPr>
        <w:t>政府</w:t>
      </w:r>
      <w:r>
        <w:rPr>
          <w:rFonts w:ascii="Times New Roman" w:hAnsi="Times New Roman" w:eastAsia="黑体" w:cs="Times New Roman"/>
          <w:sz w:val="32"/>
          <w:szCs w:val="32"/>
        </w:rPr>
        <w:t>债务情况说明</w:t>
      </w:r>
    </w:p>
    <w:p>
      <w:pPr>
        <w:ind w:firstLine="4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2018年省财政厅核定我市新增债务限额30.1亿元，其中：新增政府债券26</w:t>
      </w:r>
      <w:bookmarkStart w:id="0" w:name="_GoBack"/>
      <w:r>
        <w:rPr>
          <w:rFonts w:hint="eastAsia" w:ascii="Times New Roman" w:hAnsi="Times New Roman" w:eastAsia="仿宋_GB2312" w:cs="Times New Roman"/>
          <w:sz w:val="32"/>
          <w:szCs w:val="32"/>
        </w:rPr>
        <w:t>.</w:t>
      </w:r>
      <w:bookmarkEnd w:id="0"/>
      <w:r>
        <w:rPr>
          <w:rFonts w:hint="eastAsia" w:ascii="Times New Roman" w:hAnsi="Times New Roman" w:eastAsia="仿宋_GB2312" w:cs="Times New Roman"/>
          <w:sz w:val="32"/>
          <w:szCs w:val="32"/>
        </w:rPr>
        <w:t>87亿元，市本级使用18.04亿元，转贷各县8.83亿元，主要用于公共基础设施建设、城市建设、脱贫攻坚、三大旅游公路建设及棚户区改造等项目；外债转贷3.23亿元，主要用于城市交通可持续发展项目。</w:t>
      </w:r>
    </w:p>
    <w:p>
      <w:pPr>
        <w:ind w:firstLine="4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2018年省财政厅共下达我市置换债券11.52亿元，其中：市本级使用5.75亿元，转贷各县5.77亿元，主要用于置换存量政府债务。债券资金对我市加快基础设施和民生项目建设，以及防范财政金融风险发挥了积极作用。</w:t>
      </w:r>
    </w:p>
    <w:p>
      <w:pPr>
        <w:ind w:firstLine="4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截止2018年底，全市政府债务余额157.55亿元，比省财政厅批准的2018年政府债务限额182.6亿元低25.05亿元，其中：市本级债务余额104.94亿元，各县区债务余额合计52.61亿元。</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eastAsia" w:ascii="Times New Roman" w:hAnsi="Times New Roman" w:eastAsia="黑体" w:cs="Times New Roman"/>
          <w:sz w:val="32"/>
          <w:szCs w:val="32"/>
        </w:rPr>
        <w:t>、</w:t>
      </w:r>
      <w:r>
        <w:rPr>
          <w:rFonts w:ascii="Times New Roman" w:hAnsi="Times New Roman" w:eastAsia="黑体" w:cs="Times New Roman"/>
          <w:sz w:val="32"/>
          <w:szCs w:val="32"/>
        </w:rPr>
        <w:t>预算绩效开展情况说明</w:t>
      </w:r>
    </w:p>
    <w:p>
      <w:pPr>
        <w:ind w:firstLine="4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我市预算绩效管理工作积极贯彻党的十九大关于“建立全面规范透明、标准科学、约束有力的预算制度，全面实施绩效管理”的精神,按照省市经济财政工作会议要求，稳步推进我市预算绩效管理各项工作，强化结果导向，突出绩效责任约束，着力提高财政资金使用效益</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主要采取了以下措施：</w:t>
      </w:r>
    </w:p>
    <w:p>
      <w:pPr>
        <w:spacing w:line="600" w:lineRule="exact"/>
        <w:rPr>
          <w:rFonts w:ascii="仿宋_GB2312" w:hAnsi="华文中宋" w:eastAsia="仿宋_GB2312"/>
          <w:b/>
          <w:bCs/>
          <w:color w:val="auto"/>
          <w:sz w:val="32"/>
          <w:szCs w:val="32"/>
        </w:rPr>
      </w:pPr>
      <w:r>
        <w:rPr>
          <w:rFonts w:hint="eastAsia" w:ascii="仿宋_GB2312" w:hAnsi="华文中宋" w:eastAsia="仿宋_GB2312"/>
          <w:b/>
          <w:bCs/>
          <w:color w:val="auto"/>
          <w:sz w:val="32"/>
          <w:szCs w:val="32"/>
          <w:lang w:val="en-US" w:eastAsia="zh-CN"/>
        </w:rPr>
        <w:t xml:space="preserve">   </w:t>
      </w:r>
      <w:r>
        <w:rPr>
          <w:rFonts w:hint="eastAsia" w:ascii="仿宋_GB2312" w:hAnsi="华文中宋" w:eastAsia="仿宋_GB2312"/>
          <w:b/>
          <w:bCs/>
          <w:color w:val="auto"/>
          <w:sz w:val="32"/>
          <w:szCs w:val="32"/>
          <w:lang w:eastAsia="zh-CN"/>
        </w:rPr>
        <w:t>（一）</w:t>
      </w:r>
      <w:r>
        <w:rPr>
          <w:rFonts w:hint="eastAsia" w:ascii="仿宋_GB2312" w:hAnsi="华文中宋" w:eastAsia="仿宋_GB2312"/>
          <w:b/>
          <w:bCs/>
          <w:color w:val="auto"/>
          <w:sz w:val="32"/>
          <w:szCs w:val="32"/>
        </w:rPr>
        <w:t>全面实施预算项目绩效目标管理</w:t>
      </w:r>
      <w:r>
        <w:rPr>
          <w:rFonts w:ascii="仿宋_GB2312" w:hAnsi="华文中宋" w:eastAsia="仿宋_GB2312"/>
          <w:b/>
          <w:bCs/>
          <w:color w:val="auto"/>
          <w:sz w:val="32"/>
          <w:szCs w:val="32"/>
        </w:rPr>
        <w:t>,</w:t>
      </w:r>
      <w:r>
        <w:rPr>
          <w:rFonts w:hint="eastAsia" w:ascii="仿宋_GB2312" w:hAnsi="华文中宋" w:eastAsia="仿宋_GB2312"/>
          <w:b/>
          <w:bCs/>
          <w:color w:val="auto"/>
          <w:sz w:val="32"/>
          <w:szCs w:val="32"/>
        </w:rPr>
        <w:t>压实主体责任</w:t>
      </w:r>
    </w:p>
    <w:p>
      <w:pPr>
        <w:pStyle w:val="6"/>
        <w:spacing w:line="600" w:lineRule="exact"/>
        <w:ind w:firstLine="640"/>
        <w:rPr>
          <w:rFonts w:ascii="仿宋_GB2312" w:hAnsi="仿宋" w:eastAsia="仿宋_GB2312"/>
          <w:bCs/>
          <w:color w:val="auto"/>
          <w:sz w:val="32"/>
          <w:szCs w:val="32"/>
        </w:rPr>
      </w:pPr>
      <w:r>
        <w:rPr>
          <w:rFonts w:hint="eastAsia" w:ascii="仿宋_GB2312" w:hAnsi="仿宋" w:eastAsia="仿宋_GB2312"/>
          <w:bCs/>
          <w:color w:val="auto"/>
          <w:sz w:val="32"/>
          <w:szCs w:val="32"/>
        </w:rPr>
        <w:t>强化绩效目标的“指挥棒”作用，将绩效目标设置作为预算安排的前置条件。</w:t>
      </w:r>
      <w:r>
        <w:rPr>
          <w:rFonts w:hint="eastAsia" w:ascii="仿宋_GB2312" w:hAnsi="仿宋" w:eastAsia="仿宋_GB2312"/>
          <w:b/>
          <w:bCs/>
          <w:color w:val="auto"/>
          <w:sz w:val="32"/>
          <w:szCs w:val="32"/>
        </w:rPr>
        <w:t>一是实现了绩效目标管理全覆盖</w:t>
      </w:r>
      <w:r>
        <w:rPr>
          <w:rFonts w:hint="eastAsia" w:ascii="仿宋_GB2312" w:hAnsi="仿宋" w:eastAsia="仿宋_GB2312"/>
          <w:bCs/>
          <w:color w:val="auto"/>
          <w:sz w:val="32"/>
          <w:szCs w:val="32"/>
        </w:rPr>
        <w:t>，根据“谁申请资金，谁编制目标”的原则，按照市财政局统一要求，在编制年度部门预算时，预算单位按照《预算法》和预算绩效管理相关要求对所有项目支出编制绩效目标，实现了绩效目标管理全覆盖。</w:t>
      </w:r>
      <w:r>
        <w:rPr>
          <w:rFonts w:hint="eastAsia" w:ascii="仿宋_GB2312" w:hAnsi="仿宋" w:eastAsia="仿宋_GB2312"/>
          <w:b/>
          <w:bCs/>
          <w:color w:val="auto"/>
          <w:sz w:val="32"/>
          <w:szCs w:val="32"/>
        </w:rPr>
        <w:t>二是压实预算绩效管理主体责任</w:t>
      </w:r>
      <w:r>
        <w:rPr>
          <w:rFonts w:hint="eastAsia" w:ascii="仿宋_GB2312" w:hAnsi="仿宋" w:eastAsia="仿宋_GB2312"/>
          <w:bCs/>
          <w:color w:val="auto"/>
          <w:sz w:val="32"/>
          <w:szCs w:val="32"/>
        </w:rPr>
        <w:t>，压实各部门各单位履行预算绩效管理主体责任，加大绩效目标审核力度，提升绩效目标填报质量，使绩效目标真正成为预算安排的前提和主要依据，坚持做到“预算编制有目标”</w:t>
      </w:r>
      <w:r>
        <w:rPr>
          <w:rFonts w:ascii="仿宋_GB2312" w:hAnsi="仿宋" w:eastAsia="仿宋_GB2312"/>
          <w:bCs/>
          <w:color w:val="auto"/>
          <w:sz w:val="32"/>
          <w:szCs w:val="32"/>
        </w:rPr>
        <w:t>,</w:t>
      </w:r>
      <w:r>
        <w:rPr>
          <w:rFonts w:hint="eastAsia" w:ascii="仿宋_GB2312" w:hAnsi="仿宋" w:eastAsia="仿宋_GB2312"/>
          <w:bCs/>
          <w:color w:val="auto"/>
          <w:sz w:val="32"/>
          <w:szCs w:val="32"/>
        </w:rPr>
        <w:t>没有绩效目标（或不合格）不编列预算。财政部门和预算部门通过绩效目标“五审机制”，层层把关、审核，使绩效目标描述清晰、依据充分，使财政预算安排的项目更加科学合理。</w:t>
      </w:r>
    </w:p>
    <w:p>
      <w:pPr>
        <w:spacing w:line="600" w:lineRule="exact"/>
        <w:rPr>
          <w:rFonts w:ascii="仿宋_GB2312" w:hAnsi="华文中宋" w:eastAsia="仿宋_GB2312"/>
          <w:b/>
          <w:bCs/>
          <w:color w:val="auto"/>
          <w:sz w:val="32"/>
          <w:szCs w:val="32"/>
        </w:rPr>
      </w:pPr>
      <w:r>
        <w:rPr>
          <w:rFonts w:hint="eastAsia" w:ascii="仿宋_GB2312" w:hAnsi="华文中宋" w:eastAsia="仿宋_GB2312"/>
          <w:b/>
          <w:bCs/>
          <w:color w:val="auto"/>
          <w:sz w:val="32"/>
          <w:szCs w:val="32"/>
          <w:lang w:val="en-US" w:eastAsia="zh-CN"/>
        </w:rPr>
        <w:t xml:space="preserve">   </w:t>
      </w:r>
      <w:r>
        <w:rPr>
          <w:rFonts w:hint="eastAsia" w:ascii="仿宋_GB2312" w:hAnsi="华文中宋" w:eastAsia="仿宋_GB2312"/>
          <w:b/>
          <w:bCs/>
          <w:color w:val="auto"/>
          <w:sz w:val="32"/>
          <w:szCs w:val="32"/>
          <w:lang w:eastAsia="zh-CN"/>
        </w:rPr>
        <w:t>（二）</w:t>
      </w:r>
      <w:r>
        <w:rPr>
          <w:rFonts w:hint="eastAsia" w:ascii="仿宋_GB2312" w:hAnsi="华文中宋" w:eastAsia="仿宋_GB2312"/>
          <w:b/>
          <w:bCs/>
          <w:color w:val="auto"/>
          <w:sz w:val="32"/>
          <w:szCs w:val="32"/>
        </w:rPr>
        <w:t>强化绩效跟踪监控，促进绩效目标实现</w:t>
      </w:r>
    </w:p>
    <w:p>
      <w:pPr>
        <w:spacing w:line="600" w:lineRule="exact"/>
        <w:ind w:firstLine="640" w:firstLineChars="200"/>
        <w:rPr>
          <w:rFonts w:ascii="仿宋_GB2312" w:hAnsi="仿宋" w:eastAsia="仿宋_GB2312"/>
          <w:bCs/>
          <w:color w:val="auto"/>
          <w:sz w:val="32"/>
          <w:szCs w:val="32"/>
        </w:rPr>
      </w:pPr>
      <w:r>
        <w:rPr>
          <w:rFonts w:hint="eastAsia" w:ascii="仿宋_GB2312" w:hAnsi="仿宋" w:eastAsia="仿宋_GB2312"/>
          <w:bCs/>
          <w:color w:val="auto"/>
          <w:sz w:val="32"/>
          <w:szCs w:val="32"/>
        </w:rPr>
        <w:t>市财政局严格落实《长治市关于加强预算绩效运行监控的实施方案》文件要求，继续本着“突出重点、及时适当、有效纠偏”的原则，有序开展绩效运行监控工作。</w:t>
      </w:r>
      <w:r>
        <w:rPr>
          <w:rFonts w:ascii="仿宋_GB2312" w:hAnsi="仿宋" w:eastAsia="仿宋_GB2312"/>
          <w:bCs/>
          <w:color w:val="auto"/>
          <w:sz w:val="32"/>
          <w:szCs w:val="32"/>
        </w:rPr>
        <w:t>2018</w:t>
      </w:r>
      <w:r>
        <w:rPr>
          <w:rFonts w:hint="eastAsia" w:ascii="仿宋_GB2312" w:hAnsi="仿宋" w:eastAsia="仿宋_GB2312"/>
          <w:bCs/>
          <w:color w:val="auto"/>
          <w:sz w:val="32"/>
          <w:szCs w:val="32"/>
        </w:rPr>
        <w:t>年市本级对</w:t>
      </w:r>
      <w:r>
        <w:rPr>
          <w:rFonts w:ascii="仿宋_GB2312" w:hAnsi="仿宋" w:eastAsia="仿宋_GB2312"/>
          <w:bCs/>
          <w:color w:val="auto"/>
          <w:sz w:val="32"/>
          <w:szCs w:val="32"/>
        </w:rPr>
        <w:t>560</w:t>
      </w:r>
      <w:r>
        <w:rPr>
          <w:rFonts w:hint="eastAsia" w:ascii="仿宋_GB2312" w:hAnsi="仿宋" w:eastAsia="仿宋_GB2312"/>
          <w:bCs/>
          <w:color w:val="auto"/>
          <w:sz w:val="32"/>
          <w:szCs w:val="32"/>
        </w:rPr>
        <w:t>个项目进行了普遍跟踪，资金总额约</w:t>
      </w:r>
      <w:r>
        <w:rPr>
          <w:rFonts w:ascii="仿宋_GB2312" w:hAnsi="仿宋" w:eastAsia="仿宋_GB2312"/>
          <w:bCs/>
          <w:color w:val="auto"/>
          <w:sz w:val="32"/>
          <w:szCs w:val="32"/>
        </w:rPr>
        <w:t>40</w:t>
      </w:r>
      <w:r>
        <w:rPr>
          <w:rFonts w:hint="eastAsia" w:ascii="仿宋_GB2312" w:hAnsi="仿宋" w:eastAsia="仿宋_GB2312"/>
          <w:bCs/>
          <w:color w:val="auto"/>
          <w:sz w:val="32"/>
          <w:szCs w:val="32"/>
        </w:rPr>
        <w:t>亿元，对绩效运行有可能偏离目标的项目，提出了监控预警或询问，督促预算单位按照设定的绩效目标加快实施，促进了绩效目标的顺利实现。在普遍跟踪的基础上选择部分项目进行重点跟踪监控，通过对项目的运行监控、督促整改，相关绩效目标得以较好实施，并在财政拨付项目资金时，根据整改结果调整预算，用绩效管理手段实现了财政资金的有效监控。</w:t>
      </w:r>
    </w:p>
    <w:p>
      <w:pPr>
        <w:spacing w:line="600" w:lineRule="exact"/>
        <w:rPr>
          <w:rFonts w:ascii="楷体" w:hAnsi="楷体" w:eastAsia="楷体" w:cs="楷体"/>
          <w:b/>
          <w:bCs/>
          <w:color w:val="auto"/>
          <w:sz w:val="32"/>
          <w:szCs w:val="32"/>
        </w:rPr>
      </w:pPr>
      <w:r>
        <w:rPr>
          <w:rFonts w:hint="eastAsia" w:ascii="仿宋_GB2312" w:hAnsi="华文中宋" w:eastAsia="仿宋_GB2312"/>
          <w:b/>
          <w:bCs/>
          <w:color w:val="auto"/>
          <w:sz w:val="32"/>
          <w:szCs w:val="32"/>
          <w:lang w:val="en-US" w:eastAsia="zh-CN"/>
        </w:rPr>
        <w:t xml:space="preserve">   </w:t>
      </w:r>
      <w:r>
        <w:rPr>
          <w:rFonts w:hint="eastAsia" w:ascii="仿宋_GB2312" w:hAnsi="华文中宋" w:eastAsia="仿宋_GB2312"/>
          <w:b/>
          <w:bCs/>
          <w:color w:val="auto"/>
          <w:sz w:val="32"/>
          <w:szCs w:val="32"/>
          <w:lang w:eastAsia="zh-CN"/>
        </w:rPr>
        <w:t>（三）</w:t>
      </w:r>
      <w:r>
        <w:rPr>
          <w:rFonts w:hint="eastAsia" w:ascii="仿宋_GB2312" w:hAnsi="华文中宋" w:eastAsia="仿宋_GB2312"/>
          <w:b/>
          <w:bCs/>
          <w:color w:val="auto"/>
          <w:sz w:val="32"/>
          <w:szCs w:val="32"/>
        </w:rPr>
        <w:t>加大绩效评价力度，推动预算绩效管理扩围升级，注重评价结果应用</w:t>
      </w:r>
    </w:p>
    <w:p>
      <w:pPr>
        <w:pStyle w:val="4"/>
        <w:adjustRightInd w:val="0"/>
        <w:spacing w:line="600" w:lineRule="exact"/>
        <w:ind w:firstLine="640" w:firstLineChars="200"/>
        <w:rPr>
          <w:rFonts w:ascii="仿宋_GB2312" w:hAnsi="仿宋" w:eastAsia="仿宋_GB2312"/>
          <w:bCs/>
          <w:color w:val="auto"/>
          <w:sz w:val="32"/>
          <w:szCs w:val="32"/>
        </w:rPr>
      </w:pPr>
      <w:r>
        <w:rPr>
          <w:rFonts w:hint="eastAsia" w:ascii="仿宋_GB2312" w:hAnsi="仿宋" w:eastAsia="仿宋_GB2312"/>
          <w:bCs/>
          <w:color w:val="auto"/>
          <w:sz w:val="32"/>
          <w:szCs w:val="32"/>
        </w:rPr>
        <w:t>绩效评价是预算绩效管理的重要手段。</w:t>
      </w:r>
      <w:r>
        <w:rPr>
          <w:rFonts w:ascii="仿宋_GB2312" w:hAnsi="仿宋" w:eastAsia="仿宋_GB2312"/>
          <w:bCs/>
          <w:color w:val="auto"/>
          <w:sz w:val="32"/>
          <w:szCs w:val="32"/>
        </w:rPr>
        <w:t>2018</w:t>
      </w:r>
      <w:r>
        <w:rPr>
          <w:rFonts w:hint="eastAsia" w:ascii="仿宋_GB2312" w:hAnsi="仿宋" w:eastAsia="仿宋_GB2312"/>
          <w:bCs/>
          <w:color w:val="auto"/>
          <w:sz w:val="32"/>
          <w:szCs w:val="32"/>
        </w:rPr>
        <w:t>年，市财政局加大了财政绩效评价的力度。</w:t>
      </w:r>
      <w:r>
        <w:rPr>
          <w:rFonts w:hint="eastAsia" w:ascii="仿宋_GB2312" w:hAnsi="仿宋" w:eastAsia="仿宋_GB2312"/>
          <w:b/>
          <w:bCs/>
          <w:color w:val="auto"/>
          <w:sz w:val="32"/>
          <w:szCs w:val="32"/>
        </w:rPr>
        <w:t>一是组织开展项目绩效自评价。</w:t>
      </w:r>
      <w:r>
        <w:rPr>
          <w:rFonts w:hint="eastAsia" w:ascii="仿宋_GB2312" w:hAnsi="仿宋" w:eastAsia="仿宋_GB2312"/>
          <w:bCs/>
          <w:color w:val="auto"/>
          <w:sz w:val="32"/>
          <w:szCs w:val="32"/>
        </w:rPr>
        <w:t>组织市直各预算部门（单位）对</w:t>
      </w:r>
      <w:r>
        <w:rPr>
          <w:rFonts w:ascii="仿宋_GB2312" w:hAnsi="仿宋" w:eastAsia="仿宋_GB2312"/>
          <w:bCs/>
          <w:color w:val="auto"/>
          <w:sz w:val="32"/>
          <w:szCs w:val="32"/>
        </w:rPr>
        <w:t>2017</w:t>
      </w:r>
      <w:r>
        <w:rPr>
          <w:rFonts w:hint="eastAsia" w:ascii="仿宋_GB2312" w:hAnsi="仿宋" w:eastAsia="仿宋_GB2312"/>
          <w:bCs/>
          <w:color w:val="auto"/>
          <w:sz w:val="32"/>
          <w:szCs w:val="32"/>
        </w:rPr>
        <w:t>年度纳入预算绩效管理的所有财政专项资金（项目支出）和跨年度项目按照项目预定的绩效目标进行阶段性绩效跟踪自评价。</w:t>
      </w:r>
      <w:r>
        <w:rPr>
          <w:rFonts w:hint="eastAsia" w:ascii="仿宋_GB2312" w:hAnsi="仿宋" w:eastAsia="仿宋_GB2312"/>
          <w:b/>
          <w:bCs/>
          <w:color w:val="auto"/>
          <w:sz w:val="32"/>
          <w:szCs w:val="32"/>
        </w:rPr>
        <w:t>二是加大重点评价工作力度。</w:t>
      </w:r>
      <w:r>
        <w:rPr>
          <w:rFonts w:ascii="仿宋_GB2312" w:hAnsi="仿宋" w:eastAsia="仿宋_GB2312"/>
          <w:bCs/>
          <w:color w:val="auto"/>
          <w:sz w:val="32"/>
          <w:szCs w:val="32"/>
        </w:rPr>
        <w:t>2018</w:t>
      </w:r>
      <w:r>
        <w:rPr>
          <w:rFonts w:hint="eastAsia" w:ascii="仿宋_GB2312" w:hAnsi="仿宋" w:eastAsia="仿宋_GB2312"/>
          <w:bCs/>
          <w:color w:val="auto"/>
          <w:sz w:val="32"/>
          <w:szCs w:val="32"/>
        </w:rPr>
        <w:t>年，对</w:t>
      </w:r>
      <w:r>
        <w:rPr>
          <w:rFonts w:ascii="仿宋_GB2312" w:hAnsi="仿宋" w:eastAsia="仿宋_GB2312"/>
          <w:bCs/>
          <w:color w:val="auto"/>
          <w:sz w:val="32"/>
          <w:szCs w:val="32"/>
        </w:rPr>
        <w:t>2017</w:t>
      </w:r>
      <w:r>
        <w:rPr>
          <w:rFonts w:hint="eastAsia" w:ascii="仿宋_GB2312" w:hAnsi="仿宋" w:eastAsia="仿宋_GB2312"/>
          <w:bCs/>
          <w:color w:val="auto"/>
          <w:sz w:val="32"/>
          <w:szCs w:val="32"/>
        </w:rPr>
        <w:t>年度财政安排的</w:t>
      </w:r>
      <w:r>
        <w:rPr>
          <w:rFonts w:ascii="仿宋_GB2312" w:hAnsi="仿宋" w:eastAsia="仿宋_GB2312"/>
          <w:bCs/>
          <w:color w:val="auto"/>
          <w:sz w:val="32"/>
          <w:szCs w:val="32"/>
        </w:rPr>
        <w:t>54</w:t>
      </w:r>
      <w:r>
        <w:rPr>
          <w:rFonts w:hint="eastAsia" w:ascii="仿宋_GB2312" w:hAnsi="仿宋" w:eastAsia="仿宋_GB2312"/>
          <w:bCs/>
          <w:color w:val="auto"/>
          <w:sz w:val="32"/>
          <w:szCs w:val="32"/>
        </w:rPr>
        <w:t>个</w:t>
      </w:r>
      <w:r>
        <w:rPr>
          <w:rFonts w:ascii="仿宋_GB2312" w:hAnsi="仿宋" w:eastAsia="仿宋_GB2312"/>
          <w:bCs/>
          <w:color w:val="auto"/>
          <w:sz w:val="32"/>
          <w:szCs w:val="32"/>
        </w:rPr>
        <w:t>100</w:t>
      </w:r>
      <w:r>
        <w:rPr>
          <w:rFonts w:hint="eastAsia" w:ascii="仿宋_GB2312" w:hAnsi="仿宋" w:eastAsia="仿宋_GB2312"/>
          <w:bCs/>
          <w:color w:val="auto"/>
          <w:sz w:val="32"/>
          <w:szCs w:val="32"/>
        </w:rPr>
        <w:t>万元以上的关系民生公益事业的重点项目支出实施重点绩效评价，较上年增加</w:t>
      </w:r>
      <w:r>
        <w:rPr>
          <w:rFonts w:ascii="仿宋_GB2312" w:hAnsi="仿宋" w:eastAsia="仿宋_GB2312"/>
          <w:bCs/>
          <w:color w:val="auto"/>
          <w:sz w:val="32"/>
          <w:szCs w:val="32"/>
        </w:rPr>
        <w:t>8</w:t>
      </w:r>
      <w:r>
        <w:rPr>
          <w:rFonts w:hint="eastAsia" w:ascii="仿宋_GB2312" w:hAnsi="仿宋" w:eastAsia="仿宋_GB2312"/>
          <w:bCs/>
          <w:color w:val="auto"/>
          <w:sz w:val="32"/>
          <w:szCs w:val="32"/>
        </w:rPr>
        <w:t>个项目，涉及项目资金总额</w:t>
      </w:r>
      <w:r>
        <w:rPr>
          <w:rFonts w:ascii="仿宋_GB2312" w:hAnsi="仿宋" w:eastAsia="仿宋_GB2312"/>
          <w:bCs/>
          <w:color w:val="auto"/>
          <w:sz w:val="32"/>
          <w:szCs w:val="32"/>
        </w:rPr>
        <w:t>13.02</w:t>
      </w:r>
      <w:r>
        <w:rPr>
          <w:rFonts w:hint="eastAsia" w:ascii="仿宋_GB2312" w:hAnsi="仿宋" w:eastAsia="仿宋_GB2312"/>
          <w:bCs/>
          <w:color w:val="auto"/>
          <w:sz w:val="32"/>
          <w:szCs w:val="32"/>
        </w:rPr>
        <w:t>亿元。在评价实施过程中，市财政局加大了对评价工作的监督力度，聘请评审专家对绩效评价报告进行辅导、评审，将专家考核结果与评价费用相结合，进一步加强对中介机构的业务指导和工作监控，大大提高了评价报告的质量。</w:t>
      </w:r>
      <w:r>
        <w:rPr>
          <w:rFonts w:hint="eastAsia" w:ascii="仿宋_GB2312" w:hAnsi="仿宋" w:eastAsia="仿宋_GB2312"/>
          <w:b/>
          <w:bCs/>
          <w:color w:val="auto"/>
          <w:sz w:val="32"/>
          <w:szCs w:val="32"/>
        </w:rPr>
        <w:t>三是推动预算绩效管理扩围升级。</w:t>
      </w:r>
      <w:r>
        <w:rPr>
          <w:rFonts w:hint="eastAsia" w:ascii="仿宋_GB2312" w:hAnsi="仿宋" w:eastAsia="仿宋_GB2312"/>
          <w:bCs/>
          <w:color w:val="auto"/>
          <w:sz w:val="32"/>
          <w:szCs w:val="32"/>
        </w:rPr>
        <w:t>在做好重点项目绩效评价的同时，</w:t>
      </w:r>
      <w:r>
        <w:rPr>
          <w:rFonts w:ascii="仿宋_GB2312" w:hAnsi="仿宋" w:eastAsia="仿宋_GB2312"/>
          <w:bCs/>
          <w:color w:val="auto"/>
          <w:sz w:val="32"/>
          <w:szCs w:val="32"/>
        </w:rPr>
        <w:t xml:space="preserve"> 2018</w:t>
      </w:r>
      <w:r>
        <w:rPr>
          <w:rFonts w:hint="eastAsia" w:ascii="仿宋_GB2312" w:hAnsi="仿宋" w:eastAsia="仿宋_GB2312"/>
          <w:bCs/>
          <w:color w:val="auto"/>
          <w:sz w:val="32"/>
          <w:szCs w:val="32"/>
        </w:rPr>
        <w:t>年，市财政局结合市人大财经委开展的年度预算初审工作，扩大了对市民政局、市外事侨务和文物旅游局、市文化局三个部门的整体支出绩效评价，使整体评价试点单位达到</w:t>
      </w:r>
      <w:r>
        <w:rPr>
          <w:rFonts w:ascii="仿宋_GB2312" w:hAnsi="仿宋" w:eastAsia="仿宋_GB2312"/>
          <w:bCs/>
          <w:color w:val="auto"/>
          <w:sz w:val="32"/>
          <w:szCs w:val="32"/>
        </w:rPr>
        <w:t>23</w:t>
      </w:r>
      <w:r>
        <w:rPr>
          <w:rFonts w:hint="eastAsia" w:ascii="仿宋_GB2312" w:hAnsi="仿宋" w:eastAsia="仿宋_GB2312"/>
          <w:bCs/>
          <w:color w:val="auto"/>
          <w:sz w:val="32"/>
          <w:szCs w:val="32"/>
        </w:rPr>
        <w:t>个。</w:t>
      </w:r>
      <w:r>
        <w:rPr>
          <w:rFonts w:ascii="仿宋_GB2312" w:hAnsi="仿宋" w:eastAsia="仿宋_GB2312"/>
          <w:bCs/>
          <w:color w:val="auto"/>
          <w:sz w:val="32"/>
          <w:szCs w:val="32"/>
        </w:rPr>
        <w:t>2019</w:t>
      </w:r>
      <w:r>
        <w:rPr>
          <w:rFonts w:hint="eastAsia" w:ascii="仿宋_GB2312" w:hAnsi="仿宋" w:eastAsia="仿宋_GB2312"/>
          <w:bCs/>
          <w:color w:val="auto"/>
          <w:sz w:val="32"/>
          <w:szCs w:val="32"/>
        </w:rPr>
        <w:t>年，将进一步扩大整体评价试点，对市司法局、市商务局、市教育局实施部门整体绩效评价。其余所有部门（单位）要设置部门（单位）整体绩效目标、政策及项目绩效目标（暂除补助经费类项目外）。此外，对扶贫项目资金、北方地区冬季清洁取暖等重大专项资金根据不同预算资金的性质和特点进行预算绩效跟踪评价。</w:t>
      </w:r>
      <w:r>
        <w:rPr>
          <w:rFonts w:hint="eastAsia" w:ascii="仿宋_GB2312" w:hAnsi="仿宋" w:eastAsia="仿宋_GB2312"/>
          <w:b/>
          <w:bCs/>
          <w:color w:val="auto"/>
          <w:sz w:val="32"/>
          <w:szCs w:val="32"/>
        </w:rPr>
        <w:t>四是注重评价结果应用。</w:t>
      </w:r>
      <w:r>
        <w:rPr>
          <w:rFonts w:hint="eastAsia" w:ascii="仿宋_GB2312" w:hAnsi="仿宋" w:eastAsia="仿宋_GB2312"/>
          <w:bCs/>
          <w:color w:val="auto"/>
          <w:sz w:val="32"/>
          <w:szCs w:val="32"/>
        </w:rPr>
        <w:t>建立报告、反馈机制和绩效评价结果与预算资金安排有机结合机制。将评价结果向被评价单位和财政部门预算管理科室进行反馈，被评价单位结合评价意见、建议认真整改，财政局部门预算管理科室将评价结果作为预算编制的重要依据，根据评价结果调整预算安排。根据</w:t>
      </w:r>
      <w:r>
        <w:rPr>
          <w:rFonts w:ascii="仿宋_GB2312" w:hAnsi="仿宋" w:eastAsia="仿宋_GB2312"/>
          <w:bCs/>
          <w:color w:val="auto"/>
          <w:sz w:val="32"/>
          <w:szCs w:val="32"/>
        </w:rPr>
        <w:t>2018</w:t>
      </w:r>
      <w:r>
        <w:rPr>
          <w:rFonts w:hint="eastAsia" w:ascii="仿宋_GB2312" w:hAnsi="仿宋" w:eastAsia="仿宋_GB2312"/>
          <w:bCs/>
          <w:color w:val="auto"/>
          <w:sz w:val="32"/>
          <w:szCs w:val="32"/>
        </w:rPr>
        <w:t>年的重点项目评价报告，我们认真整理汇总，向项目单位反馈</w:t>
      </w:r>
      <w:r>
        <w:rPr>
          <w:rFonts w:ascii="仿宋_GB2312" w:hAnsi="仿宋" w:eastAsia="仿宋_GB2312"/>
          <w:bCs/>
          <w:color w:val="auto"/>
          <w:sz w:val="32"/>
          <w:szCs w:val="32"/>
        </w:rPr>
        <w:t>162</w:t>
      </w:r>
      <w:r>
        <w:rPr>
          <w:rFonts w:hint="eastAsia" w:ascii="仿宋_GB2312" w:hAnsi="仿宋" w:eastAsia="仿宋_GB2312"/>
          <w:bCs/>
          <w:color w:val="auto"/>
          <w:sz w:val="32"/>
          <w:szCs w:val="32"/>
        </w:rPr>
        <w:t>条项目实施中存在的问题，针对这些问题，绩效科组织评审专家分析、讨论，提出</w:t>
      </w:r>
      <w:r>
        <w:rPr>
          <w:rFonts w:ascii="仿宋_GB2312" w:hAnsi="仿宋" w:eastAsia="仿宋_GB2312"/>
          <w:bCs/>
          <w:color w:val="auto"/>
          <w:sz w:val="32"/>
          <w:szCs w:val="32"/>
        </w:rPr>
        <w:t>217</w:t>
      </w:r>
      <w:r>
        <w:rPr>
          <w:rFonts w:hint="eastAsia" w:ascii="仿宋_GB2312" w:hAnsi="仿宋" w:eastAsia="仿宋_GB2312"/>
          <w:bCs/>
          <w:color w:val="auto"/>
          <w:sz w:val="32"/>
          <w:szCs w:val="32"/>
        </w:rPr>
        <w:t>条专业的整改建议。市财政局及时召开评价结果反馈会，把评价结果反馈给项目单位，督促其认真整改，并积极与</w:t>
      </w:r>
      <w:r>
        <w:rPr>
          <w:rFonts w:ascii="仿宋_GB2312" w:hAnsi="仿宋" w:eastAsia="仿宋_GB2312"/>
          <w:bCs/>
          <w:color w:val="auto"/>
          <w:sz w:val="32"/>
          <w:szCs w:val="32"/>
        </w:rPr>
        <w:t>2019</w:t>
      </w:r>
      <w:r>
        <w:rPr>
          <w:rFonts w:hint="eastAsia" w:ascii="仿宋_GB2312" w:hAnsi="仿宋" w:eastAsia="仿宋_GB2312"/>
          <w:bCs/>
          <w:color w:val="auto"/>
          <w:sz w:val="32"/>
          <w:szCs w:val="32"/>
        </w:rPr>
        <w:t>年度部门预算编制工作有机衔接，使评价结果得到有效利用。</w:t>
      </w:r>
    </w:p>
    <w:p>
      <w:pPr>
        <w:spacing w:line="600" w:lineRule="exact"/>
        <w:rPr>
          <w:rFonts w:ascii="仿宋_GB2312" w:hAnsi="华文中宋" w:eastAsia="仿宋_GB2312"/>
          <w:b/>
          <w:bCs/>
          <w:color w:val="auto"/>
          <w:sz w:val="32"/>
          <w:szCs w:val="32"/>
        </w:rPr>
      </w:pPr>
      <w:r>
        <w:rPr>
          <w:rFonts w:hint="eastAsia" w:ascii="仿宋_GB2312" w:hAnsi="华文中宋" w:eastAsia="仿宋_GB2312"/>
          <w:b/>
          <w:bCs/>
          <w:color w:val="auto"/>
          <w:sz w:val="32"/>
          <w:szCs w:val="32"/>
          <w:lang w:val="en-US" w:eastAsia="zh-CN"/>
        </w:rPr>
        <w:t xml:space="preserve">   </w:t>
      </w:r>
      <w:r>
        <w:rPr>
          <w:rFonts w:hint="eastAsia" w:ascii="仿宋_GB2312" w:hAnsi="华文中宋" w:eastAsia="仿宋_GB2312"/>
          <w:b/>
          <w:bCs/>
          <w:color w:val="auto"/>
          <w:sz w:val="32"/>
          <w:szCs w:val="32"/>
          <w:lang w:eastAsia="zh-CN"/>
        </w:rPr>
        <w:t>（四）</w:t>
      </w:r>
      <w:r>
        <w:rPr>
          <w:rFonts w:hint="eastAsia" w:ascii="仿宋_GB2312" w:hAnsi="华文中宋" w:eastAsia="仿宋_GB2312"/>
          <w:b/>
          <w:bCs/>
          <w:color w:val="auto"/>
          <w:sz w:val="32"/>
          <w:szCs w:val="32"/>
        </w:rPr>
        <w:t>贯彻落实脱贫攻坚工作要求，强化扶贫项目资金绩效管理</w:t>
      </w:r>
    </w:p>
    <w:p>
      <w:pPr>
        <w:spacing w:line="600" w:lineRule="exact"/>
        <w:ind w:firstLine="640" w:firstLineChars="200"/>
        <w:rPr>
          <w:rFonts w:hint="eastAsia" w:ascii="Times New Roman" w:hAnsi="Times New Roman" w:eastAsia="仿宋_GB2312" w:cs="Times New Roman"/>
          <w:sz w:val="32"/>
          <w:szCs w:val="32"/>
        </w:rPr>
      </w:pPr>
      <w:r>
        <w:rPr>
          <w:rFonts w:hint="eastAsia" w:ascii="仿宋_GB2312" w:hAnsi="仿宋" w:eastAsia="仿宋_GB2312"/>
          <w:bCs/>
          <w:color w:val="auto"/>
          <w:sz w:val="32"/>
          <w:szCs w:val="32"/>
        </w:rPr>
        <w:t>为了贯彻落实国家及省关于打赢脱贫攻坚战的工作部署，落实中华人民共和国预算法要求，切实提高财政扶贫项目资金使用效益，落实绩效管理责任，充分激发、调动各县区扶贫项目资金绩效管理工作的积极性、主动性和创造性，根据财政部脱贫攻坚领导小组下发的《财政部关于贯彻落实</w:t>
      </w:r>
      <w:r>
        <w:rPr>
          <w:rFonts w:ascii="仿宋_GB2312" w:hAnsi="仿宋" w:eastAsia="仿宋_GB2312"/>
          <w:bCs/>
          <w:color w:val="auto"/>
          <w:sz w:val="32"/>
          <w:szCs w:val="32"/>
        </w:rPr>
        <w:t>&lt;</w:t>
      </w:r>
      <w:r>
        <w:rPr>
          <w:rFonts w:hint="eastAsia" w:ascii="仿宋_GB2312" w:hAnsi="仿宋" w:eastAsia="仿宋_GB2312"/>
          <w:bCs/>
          <w:color w:val="auto"/>
          <w:sz w:val="32"/>
          <w:szCs w:val="32"/>
        </w:rPr>
        <w:t>扶贫项目资金绩效管理办法</w:t>
      </w:r>
      <w:r>
        <w:rPr>
          <w:rFonts w:ascii="仿宋_GB2312" w:hAnsi="仿宋" w:eastAsia="仿宋_GB2312"/>
          <w:bCs/>
          <w:color w:val="auto"/>
          <w:sz w:val="32"/>
          <w:szCs w:val="32"/>
        </w:rPr>
        <w:t>&gt;</w:t>
      </w:r>
      <w:r>
        <w:rPr>
          <w:rFonts w:hint="eastAsia" w:ascii="仿宋_GB2312" w:hAnsi="仿宋" w:eastAsia="仿宋_GB2312"/>
          <w:bCs/>
          <w:color w:val="auto"/>
          <w:sz w:val="32"/>
          <w:szCs w:val="32"/>
        </w:rPr>
        <w:t>的通知》、《财政部脱贫攻坚领导小组关于加强扶贫项目资金绩效管理考核有关问题的通知》、《山西省财政厅关于全面加强脱贫攻坚期内各级各类扶贫资金管理的实施意见》等有关文件精神，</w:t>
      </w:r>
      <w:r>
        <w:rPr>
          <w:rFonts w:ascii="仿宋_GB2312" w:hAnsi="仿宋" w:eastAsia="仿宋_GB2312"/>
          <w:bCs/>
          <w:color w:val="auto"/>
          <w:sz w:val="32"/>
          <w:szCs w:val="32"/>
        </w:rPr>
        <w:t>2018</w:t>
      </w:r>
      <w:r>
        <w:rPr>
          <w:rFonts w:hint="eastAsia" w:ascii="仿宋_GB2312" w:hAnsi="仿宋" w:eastAsia="仿宋_GB2312"/>
          <w:bCs/>
          <w:color w:val="auto"/>
          <w:sz w:val="32"/>
          <w:szCs w:val="32"/>
        </w:rPr>
        <w:t>年市财政局重点加强对扶贫项目资金绩效管理。通过召开业务培训会、现场调研督导、微信群业务辅导等多种方式进行工作部署和业务指导，组织完成了扶贫项目资金绩效目标补充填报审核工作，到</w:t>
      </w:r>
      <w:r>
        <w:rPr>
          <w:rFonts w:ascii="仿宋_GB2312" w:hAnsi="仿宋" w:eastAsia="仿宋_GB2312"/>
          <w:bCs/>
          <w:color w:val="auto"/>
          <w:sz w:val="32"/>
          <w:szCs w:val="32"/>
        </w:rPr>
        <w:t>2018</w:t>
      </w:r>
      <w:r>
        <w:rPr>
          <w:rFonts w:hint="eastAsia" w:ascii="仿宋_GB2312" w:hAnsi="仿宋" w:eastAsia="仿宋_GB2312"/>
          <w:bCs/>
          <w:color w:val="auto"/>
          <w:sz w:val="32"/>
          <w:szCs w:val="32"/>
        </w:rPr>
        <w:t>年</w:t>
      </w:r>
      <w:r>
        <w:rPr>
          <w:rFonts w:ascii="仿宋_GB2312" w:hAnsi="仿宋" w:eastAsia="仿宋_GB2312"/>
          <w:bCs/>
          <w:color w:val="auto"/>
          <w:sz w:val="32"/>
          <w:szCs w:val="32"/>
        </w:rPr>
        <w:t>12</w:t>
      </w:r>
      <w:r>
        <w:rPr>
          <w:rFonts w:hint="eastAsia" w:ascii="仿宋_GB2312" w:hAnsi="仿宋" w:eastAsia="仿宋_GB2312"/>
          <w:bCs/>
          <w:color w:val="auto"/>
          <w:sz w:val="32"/>
          <w:szCs w:val="32"/>
        </w:rPr>
        <w:t>月</w:t>
      </w:r>
      <w:r>
        <w:rPr>
          <w:rFonts w:ascii="仿宋_GB2312" w:hAnsi="仿宋" w:eastAsia="仿宋_GB2312"/>
          <w:bCs/>
          <w:color w:val="auto"/>
          <w:sz w:val="32"/>
          <w:szCs w:val="32"/>
        </w:rPr>
        <w:t>30</w:t>
      </w:r>
      <w:r>
        <w:rPr>
          <w:rFonts w:hint="eastAsia" w:ascii="仿宋_GB2312" w:hAnsi="仿宋" w:eastAsia="仿宋_GB2312"/>
          <w:bCs/>
          <w:color w:val="auto"/>
          <w:sz w:val="32"/>
          <w:szCs w:val="32"/>
        </w:rPr>
        <w:t>日，补报审核任务在全省率先实现双百目标，受到省财政厅好评。</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四</w:t>
      </w:r>
      <w:r>
        <w:rPr>
          <w:rFonts w:hint="eastAsia"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市本级一般公共预算</w:t>
      </w:r>
      <w:r>
        <w:rPr>
          <w:rFonts w:ascii="Times New Roman" w:hAnsi="Times New Roman" w:eastAsia="黑体" w:cs="Times New Roman"/>
          <w:sz w:val="32"/>
          <w:szCs w:val="32"/>
        </w:rPr>
        <w:t>“三公”经费</w:t>
      </w:r>
      <w:r>
        <w:rPr>
          <w:rFonts w:hint="eastAsia" w:ascii="Times New Roman" w:hAnsi="Times New Roman" w:eastAsia="黑体" w:cs="Times New Roman"/>
          <w:sz w:val="32"/>
          <w:szCs w:val="32"/>
          <w:lang w:val="en-US" w:eastAsia="zh-CN"/>
        </w:rPr>
        <w:t>决算执行情况</w:t>
      </w:r>
      <w:r>
        <w:rPr>
          <w:rFonts w:ascii="Times New Roman" w:hAnsi="Times New Roman" w:eastAsia="黑体" w:cs="Times New Roman"/>
          <w:sz w:val="32"/>
          <w:szCs w:val="32"/>
        </w:rPr>
        <w:t>说明</w:t>
      </w:r>
    </w:p>
    <w:p>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市本级行政事业单位财政拨款“三公”经费支出2436.57万元（包括基本支出和项目支出安排的经费），比预算数减少602.96万元，主要是有关部门严格执行“三公”经费只减不增要求，大力压减“三公”经费支出。其中：</w:t>
      </w:r>
    </w:p>
    <w:p>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因公出国（境）费51.66万元，比预算数减少7.34万元；</w:t>
      </w:r>
    </w:p>
    <w:p>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公务接待费354.58万元，比预算数减少456.66万元；</w:t>
      </w:r>
    </w:p>
    <w:p>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公务用车购置及运行维护费2030.33万元（其中：公务用车购置费203.92万元，运行维护费1826.41万元），比预算减少138.96万元。</w:t>
      </w:r>
    </w:p>
    <w:tbl>
      <w:tblPr>
        <w:tblpPr w:leftFromText="180" w:rightFromText="180" w:vertAnchor="text" w:horzAnchor="page" w:tblpX="1965" w:tblpY="233"/>
        <w:tblOverlap w:val="never"/>
        <w:tblW w:w="8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559"/>
        <w:gridCol w:w="1559"/>
        <w:gridCol w:w="1985"/>
        <w:gridCol w:w="2126"/>
      </w:tblGrid>
      <w:tr>
        <w:tc>
          <w:tcPr>
            <w:tcW w:w="1101" w:type="dxa"/>
            <w:vAlign w:val="top"/>
          </w:tcPr>
          <w:p>
            <w:pPr>
              <w:jc w:val="center"/>
              <w:rPr>
                <w:sz w:val="24"/>
              </w:rPr>
            </w:pPr>
            <w:r>
              <w:rPr>
                <w:rFonts w:hint="eastAsia"/>
                <w:sz w:val="24"/>
              </w:rPr>
              <w:t>合计</w:t>
            </w:r>
          </w:p>
        </w:tc>
        <w:tc>
          <w:tcPr>
            <w:tcW w:w="1559" w:type="dxa"/>
            <w:vAlign w:val="top"/>
          </w:tcPr>
          <w:p>
            <w:pPr>
              <w:jc w:val="center"/>
              <w:rPr>
                <w:sz w:val="24"/>
              </w:rPr>
            </w:pPr>
            <w:r>
              <w:rPr>
                <w:rFonts w:hint="eastAsia"/>
                <w:sz w:val="24"/>
              </w:rPr>
              <w:t>因公出国（境）费用</w:t>
            </w:r>
          </w:p>
        </w:tc>
        <w:tc>
          <w:tcPr>
            <w:tcW w:w="1559" w:type="dxa"/>
            <w:vAlign w:val="top"/>
          </w:tcPr>
          <w:p>
            <w:pPr>
              <w:jc w:val="center"/>
              <w:rPr>
                <w:sz w:val="24"/>
              </w:rPr>
            </w:pPr>
            <w:r>
              <w:rPr>
                <w:rFonts w:hint="eastAsia"/>
                <w:sz w:val="24"/>
              </w:rPr>
              <w:t>公务接待费</w:t>
            </w:r>
          </w:p>
        </w:tc>
        <w:tc>
          <w:tcPr>
            <w:tcW w:w="1985" w:type="dxa"/>
            <w:vAlign w:val="top"/>
          </w:tcPr>
          <w:p>
            <w:pPr>
              <w:jc w:val="center"/>
              <w:rPr>
                <w:sz w:val="24"/>
              </w:rPr>
            </w:pPr>
            <w:r>
              <w:rPr>
                <w:rFonts w:hint="eastAsia"/>
                <w:sz w:val="24"/>
              </w:rPr>
              <w:t>公务用车购置费</w:t>
            </w:r>
          </w:p>
        </w:tc>
        <w:tc>
          <w:tcPr>
            <w:tcW w:w="2126" w:type="dxa"/>
            <w:vAlign w:val="top"/>
          </w:tcPr>
          <w:p>
            <w:pPr>
              <w:jc w:val="center"/>
              <w:rPr>
                <w:sz w:val="24"/>
              </w:rPr>
            </w:pPr>
            <w:r>
              <w:rPr>
                <w:rFonts w:hint="eastAsia"/>
                <w:sz w:val="24"/>
              </w:rPr>
              <w:t>公务用车运行费</w:t>
            </w:r>
          </w:p>
        </w:tc>
      </w:tr>
      <w:tr>
        <w:trPr>
          <w:trHeight w:val="346" w:hRule="atLeast"/>
        </w:trPr>
        <w:tc>
          <w:tcPr>
            <w:tcW w:w="1101" w:type="dxa"/>
            <w:vAlign w:val="top"/>
          </w:tcPr>
          <w:p>
            <w:pPr>
              <w:jc w:val="center"/>
              <w:rPr>
                <w:sz w:val="24"/>
              </w:rPr>
            </w:pPr>
            <w:r>
              <w:rPr>
                <w:rFonts w:hint="eastAsia"/>
                <w:sz w:val="24"/>
              </w:rPr>
              <w:t>2212.4</w:t>
            </w:r>
          </w:p>
        </w:tc>
        <w:tc>
          <w:tcPr>
            <w:tcW w:w="1559" w:type="dxa"/>
            <w:vAlign w:val="top"/>
          </w:tcPr>
          <w:p>
            <w:pPr>
              <w:jc w:val="center"/>
              <w:rPr>
                <w:sz w:val="24"/>
              </w:rPr>
            </w:pPr>
            <w:r>
              <w:rPr>
                <w:rFonts w:hint="eastAsia"/>
                <w:sz w:val="24"/>
              </w:rPr>
              <w:t>52.85</w:t>
            </w:r>
          </w:p>
        </w:tc>
        <w:tc>
          <w:tcPr>
            <w:tcW w:w="1559" w:type="dxa"/>
            <w:vAlign w:val="top"/>
          </w:tcPr>
          <w:p>
            <w:pPr>
              <w:jc w:val="center"/>
              <w:rPr>
                <w:sz w:val="24"/>
              </w:rPr>
            </w:pPr>
            <w:r>
              <w:rPr>
                <w:rFonts w:hint="eastAsia"/>
                <w:sz w:val="24"/>
              </w:rPr>
              <w:t>340.93</w:t>
            </w:r>
          </w:p>
        </w:tc>
        <w:tc>
          <w:tcPr>
            <w:tcW w:w="1985" w:type="dxa"/>
            <w:vAlign w:val="top"/>
          </w:tcPr>
          <w:p>
            <w:pPr>
              <w:jc w:val="center"/>
              <w:rPr>
                <w:sz w:val="24"/>
              </w:rPr>
            </w:pPr>
            <w:r>
              <w:rPr>
                <w:rFonts w:hint="eastAsia"/>
                <w:sz w:val="24"/>
              </w:rPr>
              <w:t>165.61</w:t>
            </w:r>
          </w:p>
        </w:tc>
        <w:tc>
          <w:tcPr>
            <w:tcW w:w="2126" w:type="dxa"/>
            <w:vAlign w:val="top"/>
          </w:tcPr>
          <w:p>
            <w:pPr>
              <w:jc w:val="center"/>
              <w:rPr>
                <w:sz w:val="24"/>
              </w:rPr>
            </w:pPr>
            <w:r>
              <w:rPr>
                <w:rFonts w:hint="eastAsia"/>
                <w:sz w:val="24"/>
              </w:rPr>
              <w:t>1653.01</w:t>
            </w:r>
          </w:p>
        </w:tc>
      </w:tr>
    </w:tbl>
    <w:p>
      <w:pPr>
        <w:ind w:firstLine="420"/>
        <w:rPr>
          <w:rFonts w:hint="eastAsia" w:ascii="Times New Roman" w:hAnsi="Times New Roman" w:eastAsia="仿宋_GB2312" w:cs="Times New Roman"/>
          <w:sz w:val="32"/>
          <w:szCs w:val="32"/>
        </w:rPr>
      </w:pPr>
    </w:p>
    <w:p>
      <w:pPr>
        <w:rPr>
          <w:rFonts w:ascii="Times New Roman" w:hAnsi="Times New Roman" w:cs="Times New Roman"/>
        </w:rPr>
      </w:pPr>
    </w:p>
    <w:sectPr>
      <w:footerReference r:id="rId4" w:type="default"/>
      <w:pgSz w:w="11906" w:h="16838"/>
      <w:pgMar w:top="2098" w:right="1474" w:bottom="1985" w:left="1588"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0002A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Liberation Sans">
    <w:altName w:val="Arial Unicode MS"/>
    <w:panose1 w:val="00000000000000000000"/>
    <w:charset w:val="00"/>
    <w:family w:val="auto"/>
    <w:pitch w:val="default"/>
    <w:sig w:usb0="00000000" w:usb1="00000000" w:usb2="00000000" w:usb3="00000000" w:csb0="00040001" w:csb1="00000000"/>
  </w:font>
  <w:font w:name="Noto Sans CJK SC Regular">
    <w:altName w:val="宋体"/>
    <w:panose1 w:val="020B0500000000000000"/>
    <w:charset w:val="86"/>
    <w:family w:val="auto"/>
    <w:pitch w:val="default"/>
    <w:sig w:usb0="30000003" w:usb1="2BDF3C10" w:usb2="00000016" w:usb3="00000000" w:csb0="602E0107" w:csb1="00000000"/>
  </w:font>
  <w:font w:name="方正小标宋_GBK">
    <w:altName w:val="Arial Unicode MS"/>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Cambria Math">
    <w:panose1 w:val="02040503050406030204"/>
    <w:charset w:val="00"/>
    <w:family w:val="auto"/>
    <w:pitch w:val="default"/>
    <w:sig w:usb0="E00006FF" w:usb1="420024FF" w:usb2="02000000" w:usb3="00000000" w:csb0="2000019F" w:csb1="00000000"/>
  </w:font>
  <w:font w:name="MingLiU_HKSCS">
    <w:altName w:val="PMingLiU-ExtB"/>
    <w:panose1 w:val="02020500000000000000"/>
    <w:charset w:val="88"/>
    <w:family w:val="roman"/>
    <w:pitch w:val="default"/>
    <w:sig w:usb0="A00002FF" w:usb1="38CFFCFA" w:usb2="00000016" w:usb3="00000000" w:csb0="00100001" w:csb1="00000000"/>
  </w:font>
  <w:font w:name="Malgun Gothic Semilight">
    <w:panose1 w:val="020B0502040204020203"/>
    <w:charset w:val="86"/>
    <w:family w:val="auto"/>
    <w:pitch w:val="default"/>
    <w:sig w:usb0="900002AF" w:usb1="01D77CFB" w:usb2="00000012" w:usb3="00000000" w:csb0="203E01BD" w:csb1="D7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13</w:t>
    </w:r>
    <w:r>
      <w:rPr>
        <w:rFonts w:ascii="Times New Roman" w:hAnsi="Times New Roman" w:cs="Times New Roman"/>
        <w:sz w:val="28"/>
        <w:szCs w:val="28"/>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146901817">
    <w:nsid w:val="7FF71F39"/>
    <w:multiLevelType w:val="singleLevel"/>
    <w:tmpl w:val="7FF71F39"/>
    <w:lvl w:ilvl="0" w:tentative="1">
      <w:start w:val="1"/>
      <w:numFmt w:val="decimal"/>
      <w:suff w:val="nothing"/>
      <w:lvlText w:val="%1、"/>
      <w:lvlJc w:val="left"/>
    </w:lvl>
  </w:abstractNum>
  <w:num w:numId="1">
    <w:abstractNumId w:val="21469018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11">
    <w:name w:val="Default Paragraph Font"/>
    <w:semiHidden/>
    <w:unhideWhenUsed/>
    <w:uiPriority w:val="1"/>
  </w:style>
  <w:style w:type="paragraph" w:styleId="4">
    <w:name w:val="Body Text"/>
    <w:basedOn w:val="1"/>
    <w:qFormat/>
    <w:uiPriority w:val="0"/>
    <w:pPr>
      <w:spacing w:after="120"/>
    </w:pPr>
    <w:rPr>
      <w:rFonts w:ascii="Calibri" w:hAnsi="Calibri"/>
    </w:rPr>
  </w:style>
  <w:style w:type="paragraph" w:styleId="5">
    <w:name w:val="Body Text Indent"/>
    <w:basedOn w:val="1"/>
    <w:unhideWhenUsed/>
    <w:qFormat/>
    <w:uiPriority w:val="99"/>
    <w:pPr>
      <w:spacing w:after="120"/>
      <w:ind w:left="420" w:leftChars="200"/>
    </w:pPr>
  </w:style>
  <w:style w:type="paragraph" w:styleId="6">
    <w:name w:val="Plain Text"/>
    <w:basedOn w:val="1"/>
    <w:uiPriority w:val="0"/>
    <w:rPr>
      <w:rFonts w:ascii="宋体" w:hAnsi="Courier New" w:cs="Courier New"/>
      <w:szCs w:val="21"/>
    </w:rPr>
  </w:style>
  <w:style w:type="paragraph" w:styleId="7">
    <w:name w:val="Balloon Text"/>
    <w:basedOn w:val="1"/>
    <w:link w:val="16"/>
    <w:uiPriority w:val="0"/>
    <w:rPr>
      <w:sz w:val="18"/>
      <w:szCs w:val="18"/>
    </w:rPr>
  </w:style>
  <w:style w:type="paragraph" w:styleId="8">
    <w:name w:val="footer"/>
    <w:basedOn w:val="1"/>
    <w:link w:val="17"/>
    <w:qFormat/>
    <w:uiPriority w:val="99"/>
    <w:pPr>
      <w:tabs>
        <w:tab w:val="center" w:pos="4153"/>
        <w:tab w:val="right" w:pos="8306"/>
      </w:tabs>
      <w:snapToGrid w:val="0"/>
      <w:jc w:val="left"/>
    </w:pPr>
    <w:rPr>
      <w:sz w:val="18"/>
      <w:szCs w:val="18"/>
    </w:rPr>
  </w:style>
  <w:style w:type="paragraph" w:styleId="9">
    <w:name w:val="Body Text First Indent 2"/>
    <w:basedOn w:val="5"/>
    <w:unhideWhenUsed/>
    <w:qFormat/>
    <w:uiPriority w:val="99"/>
    <w:pPr>
      <w:ind w:firstLine="420" w:firstLineChars="200"/>
    </w:p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Strong"/>
    <w:basedOn w:val="11"/>
    <w:qFormat/>
    <w:uiPriority w:val="0"/>
    <w:rPr>
      <w:b/>
      <w:bCs/>
    </w:rPr>
  </w:style>
  <w:style w:type="character" w:styleId="13">
    <w:name w:val="page number"/>
    <w:basedOn w:val="11"/>
    <w:qFormat/>
    <w:uiPriority w:val="0"/>
    <w:rPr/>
  </w:style>
  <w:style w:type="paragraph" w:customStyle="1" w:styleId="14">
    <w:name w:val="闻政正文"/>
    <w:basedOn w:val="1"/>
    <w:qFormat/>
    <w:uiPriority w:val="0"/>
    <w:pPr>
      <w:spacing w:line="500" w:lineRule="exact"/>
      <w:ind w:firstLine="560" w:firstLineChars="200"/>
    </w:pPr>
    <w:rPr>
      <w:rFonts w:eastAsia="仿宋_GB2312"/>
      <w:kern w:val="0"/>
      <w:sz w:val="28"/>
      <w:szCs w:val="28"/>
    </w:rPr>
  </w:style>
  <w:style w:type="paragraph" w:customStyle="1" w:styleId="15">
    <w:name w:val="p0"/>
    <w:basedOn w:val="1"/>
    <w:uiPriority w:val="0"/>
    <w:pPr>
      <w:widowControl/>
    </w:pPr>
    <w:rPr>
      <w:rFonts w:ascii="Calibri" w:hAnsi="Calibri" w:cs="宋体"/>
      <w:kern w:val="0"/>
      <w:szCs w:val="21"/>
    </w:rPr>
  </w:style>
  <w:style w:type="character" w:customStyle="1" w:styleId="16">
    <w:name w:val="批注框文本 Char Char"/>
    <w:basedOn w:val="11"/>
    <w:link w:val="7"/>
    <w:uiPriority w:val="0"/>
    <w:rPr>
      <w:rFonts w:ascii="Calibri" w:hAnsi="Calibri" w:eastAsia="宋体" w:cs="黑体"/>
      <w:kern w:val="2"/>
      <w:sz w:val="18"/>
      <w:szCs w:val="18"/>
    </w:rPr>
  </w:style>
  <w:style w:type="character" w:customStyle="1" w:styleId="17">
    <w:name w:val="页脚 Char Char"/>
    <w:basedOn w:val="11"/>
    <w:link w:val="8"/>
    <w:uiPriority w:val="99"/>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13</Pages>
  <Words>6520</Words>
  <Characters>1474</Characters>
  <Lines>12</Lines>
  <Paragraphs>15</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2017-04-01T03:15:00Z</dcterms:created>
  <dc:creator>null,null,预算公开</dc:creator>
  <cp:lastModifiedBy>Administrator</cp:lastModifiedBy>
  <cp:lastPrinted>2020-05-13T10:20:00Z</cp:lastPrinted>
  <dcterms:modified xsi:type="dcterms:W3CDTF">2021-05-19T09:35:12Z</dcterms:modified>
  <dc:title>2019年政府决算公开相关说明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