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C639">
      <w:pPr>
        <w:pStyle w:val="6"/>
        <w:spacing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文件解读</w:t>
      </w:r>
    </w:p>
    <w:p w14:paraId="27793412">
      <w:pPr>
        <w:jc w:val="center"/>
        <w:rPr>
          <w:rFonts w:hint="eastAsia"/>
          <w:lang w:val="en-US" w:eastAsia="zh-CN"/>
        </w:rPr>
      </w:pPr>
    </w:p>
    <w:p w14:paraId="7FA9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自机构改革以来，我市煤矿“一通三防”执法监管水平取得了很大提升，但是近期出现了煤矿和监管部门对“一通三防”相关法律法规意见不一致的情况，影响了煤矿“一通三防”工作的有序进行。为强化我市煤矿“一通三防”安全管理，防范化解煤矿重大安全风险，维护我市煤矿安全生产良好态势，根据《煤矿安全生产条例》《关于防范遏制矿山领域重特大生产安全事故的硬措施》（安委〔2024〕1号）、《中共中央办公厅 国务院办公厅关于进一步加强矿山安全生产工作的意见》《矿山安全生产治本攻坚三年行动方案（2024-2026年）》和《关于开展全省煤矿“一通三防”专项整治的通知》（晋应急发〔2024〕109号）要求，</w:t>
      </w:r>
      <w:r>
        <w:rPr>
          <w:rFonts w:hint="eastAsia" w:ascii="CESI仿宋-GB2312" w:hAnsi="CESI仿宋-GB2312" w:eastAsia="CESI仿宋-GB2312" w:cs="CESI仿宋-GB2312"/>
          <w:snapToGrid/>
          <w:kern w:val="2"/>
          <w:sz w:val="32"/>
          <w:szCs w:val="32"/>
          <w:lang w:val="en-US" w:eastAsia="zh-CN" w:bidi="ar-SA"/>
        </w:rPr>
        <w:t>现就进一步明确煤矿“一通三防”相关工作通知如下。</w:t>
      </w:r>
    </w:p>
    <w:p w14:paraId="4BFCB2E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一、严格煤矿通风瓦斯管理。</w:t>
      </w:r>
    </w:p>
    <w:p w14:paraId="1F5338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二、加强井下有毒有害气体检查检测。</w:t>
      </w:r>
    </w:p>
    <w:p w14:paraId="217DD9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三、加强瓦斯风险研判。</w:t>
      </w:r>
    </w:p>
    <w:p w14:paraId="74E8B5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四、加强关键环节管控。</w:t>
      </w:r>
    </w:p>
    <w:p w14:paraId="027F13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五、明确瓦斯（甲烷）风险防范职责。</w:t>
      </w:r>
    </w:p>
    <w:p w14:paraId="323A84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六、加强安全监控系统日常运行维护。</w:t>
      </w:r>
    </w:p>
    <w:p w14:paraId="3146A8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七、加强矿井暖风系统维护保养。</w:t>
      </w:r>
    </w:p>
    <w:p w14:paraId="568B41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八、规范井下爆破作业瓦斯管理。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DFmZTdhMjdhYTQzMTViMzkxZWE0NGFiZDkwZjQifQ=="/>
  </w:docVars>
  <w:rsids>
    <w:rsidRoot w:val="00000000"/>
    <w:rsid w:val="2AC00959"/>
    <w:rsid w:val="36EC359E"/>
    <w:rsid w:val="41F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pPr>
      <w:snapToGrid w:val="0"/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正文首行缩进 21"/>
    <w:basedOn w:val="1"/>
    <w:next w:val="3"/>
    <w:qFormat/>
    <w:uiPriority w:val="0"/>
    <w:pPr>
      <w:ind w:left="200" w:leftChars="200" w:firstLine="200" w:firstLineChars="200"/>
    </w:pPr>
    <w:rPr>
      <w:rFonts w:ascii="Calibri" w:hAnsi="Calibri" w:eastAsia="宋体"/>
      <w:color w:val="auto"/>
      <w:sz w:val="21"/>
      <w:szCs w:val="22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433</Characters>
  <Lines>0</Lines>
  <Paragraphs>0</Paragraphs>
  <TotalTime>0</TotalTime>
  <ScaleCrop>false</ScaleCrop>
  <LinksUpToDate>false</LinksUpToDate>
  <CharactersWithSpaces>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2024-08-05T01:09:00Z</dcterms:created>
  <dc:creator>HP</dc:creator>
  <cp:lastModifiedBy>dell</cp:lastModifiedBy>
  <dcterms:modified xsi:type="dcterms:W3CDTF">2024-08-05T01:38:37Z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CDEB29AE9701481AAC010B2D5021308D_12</vt:lpwstr>
  </property>
</Properties>
</file>