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:1：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公平竞争审查基本流程</w: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shape id="_x0000_s1027" o:spid="_x0000_s1027" o:spt="4" type="#_x0000_t4" style="position:absolute;left:0pt;margin-left:5.25pt;margin-top:28.8pt;height:74.25pt;width:229.5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是否涉及市场</w:t>
                  </w:r>
                </w:p>
                <w:p>
                  <w:pPr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主体经济活动</w:t>
                  </w:r>
                </w:p>
              </w:txbxContent>
            </v:textbox>
          </v:shape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roundrect id="_x0000_s1030" o:spid="_x0000_s1030" o:spt="2" style="position:absolute;left:0pt;margin-left:276.15pt;margin-top:4.35pt;height:60.75pt;width:139.85pt;z-index:251664384;v-text-anchor:middle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不需要公平竞争审查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（说明理由，审核人签字）</w:t>
                  </w:r>
                </w:p>
              </w:txbxContent>
            </v:textbox>
          </v:roundrect>
        </w:pict>
      </w:r>
      <w:r>
        <w:rPr>
          <w:lang w:val="en-US" w:eastAsia="zh-CN"/>
        </w:rPr>
        <w:pict>
          <v:shape id="テキスト ボックス 9" o:spid="_x0000_s1031" o:spt="202" type="#_x0000_t202" style="position:absolute;left:0pt;margin-left:238.5pt;margin-top:11.85pt;height:24.45pt;width:31.9pt;z-index:251665408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color w:val="000000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</w:rPr>
                    <w:t>否</w:t>
                  </w:r>
                </w:p>
              </w:txbxContent>
            </v:textbox>
          </v:shape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shape id="_x0000_s1028" o:spid="_x0000_s1028" o:spt="32" type="#_x0000_t32" style="position:absolute;left:0pt;margin-left:234.75pt;margin-top:3.15pt;height:0.75pt;width:41.25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shape id="_x0000_s1032" o:spid="_x0000_s1032" o:spt="202" type="#_x0000_t202" style="position:absolute;left:0pt;margin-left:92.6pt;margin-top:7.95pt;height:24.4pt;width:31.9pt;z-index:251666432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 w:ascii="黑体" w:hAnsi="黑体" w:eastAsia="黑体" w:cs="Times New Roman"/>
                      <w:color w:val="000000"/>
                      <w:kern w:val="2"/>
                      <w:sz w:val="21"/>
                      <w:szCs w:val="21"/>
                      <w:lang w:eastAsia="zh-CN"/>
                    </w:rPr>
                    <w:t>是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029" o:spid="_x0000_s1029" o:spt="32" type="#_x0000_t32" style="position:absolute;left:0pt;margin-left:120pt;margin-top:10.2pt;height:19.5pt;width:0.05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lang w:val="en-US" w:eastAsia="zh-CN"/>
        </w:rPr>
        <w:pict>
          <v:rect id="_x0000_s1026" o:spid="_x0000_s1026" o:spt="1" style="position:absolute;left:0pt;margin-left:0.75pt;margin-top:29.55pt;height:200.25pt;width:237.75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shape id="_x0000_s1033" o:spid="_x0000_s1033" o:spt="4" type="#_x0000_t4" style="position:absolute;left:0pt;margin-left:5.4pt;margin-top:-0.15pt;height:74.25pt;width:229.5pt;z-index:251667456;v-text-anchor:middle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对市场公平竞争</w:t>
                  </w:r>
                </w:p>
                <w:p>
                  <w:pPr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的影响评估</w:t>
                  </w:r>
                </w:p>
              </w:txbxContent>
            </v:textbox>
          </v:shape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roundrect id="_x0000_s1041" o:spid="_x0000_s1041" o:spt="2" style="position:absolute;left:0pt;margin-left:322.5pt;margin-top:18.45pt;height:39pt;width:107.25pt;z-index:251675648;v-text-anchor:middle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可以出台实施</w:t>
                  </w:r>
                </w:p>
              </w:txbxContent>
            </v:textbox>
          </v:roundrect>
        </w:pict>
      </w:r>
      <w:r>
        <w:rPr>
          <w:lang w:val="en-US" w:eastAsia="zh-CN"/>
        </w:rPr>
        <w:pict>
          <v:shape id="_x0000_s1040" o:spid="_x0000_s1040" o:spt="202" type="#_x0000_t202" style="position:absolute;left:0pt;margin-left:245.5pt;margin-top:2.75pt;height:56.95pt;width:70.25pt;z-index:251674624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"/>
                    <w:snapToGrid w:val="0"/>
                    <w:spacing w:before="0" w:beforeAutospacing="0" w:after="0" w:afterAutospacing="0"/>
                    <w:rPr>
                      <w:rFonts w:hAnsi="黑体" w:eastAsia="宋体" w:cs="Times New Roman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hAnsi="黑体" w:eastAsia="宋体" w:cs="Times New Roman"/>
                      <w:color w:val="000000"/>
                      <w:sz w:val="21"/>
                      <w:szCs w:val="21"/>
                      <w:lang w:eastAsia="zh-CN"/>
                    </w:rPr>
                    <w:t>不违反任何一项标准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rect id="_x0000_s1034" o:spid="_x0000_s1034" o:spt="1" style="position:absolute;left:0pt;margin-left:15.75pt;margin-top:11.7pt;height:25.5pt;width:212.25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840" w:firstLineChars="40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①市场准入与退出标准</w:t>
                  </w:r>
                </w:p>
              </w:txbxContent>
            </v:textbox>
          </v:rect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shape id="_x0000_s1039" o:spid="_x0000_s1039" o:spt="32" type="#_x0000_t32" style="position:absolute;left:0pt;margin-left:238.5pt;margin-top:6pt;height:0pt;width:84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lang w:val="en-US" w:eastAsia="zh-CN"/>
        </w:rPr>
        <w:pict>
          <v:rect id="_x0000_s1035" o:spid="_x0000_s1035" o:spt="1" style="position:absolute;left:0pt;margin-left:15.75pt;margin-top:10.5pt;height:25.5pt;width:212.25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②商品要素自由流通标准</w:t>
                  </w:r>
                </w:p>
              </w:txbxContent>
            </v:textbox>
          </v:rect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rect id="_x0000_s1036" o:spid="_x0000_s1036" o:spt="1" style="position:absolute;left:0pt;margin-left:15.75pt;margin-top:9.3pt;height:25.5pt;width:212.25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③影响生产经营成本标准</w:t>
                  </w:r>
                </w:p>
              </w:txbxContent>
            </v:textbox>
          </v:rect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rect id="_x0000_s1037" o:spid="_x0000_s1037" o:spt="1" style="position:absolute;left:0pt;margin-left:15.75pt;margin-top:8.1pt;height:25.5pt;width:212.25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④影响生产经营行为标准</w:t>
                  </w:r>
                </w:p>
              </w:txbxContent>
            </v:textbox>
          </v:rect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shape id="_x0000_s1042" o:spid="_x0000_s1042" o:spt="202" type="#_x0000_t202" style="position:absolute;left:0pt;margin-left:59.35pt;margin-top:19.65pt;height:56.95pt;width:70.25pt;z-index:251676672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"/>
                    <w:snapToGrid w:val="0"/>
                    <w:spacing w:before="0" w:beforeAutospacing="0" w:after="0" w:afterAutospacing="0"/>
                    <w:rPr>
                      <w:rFonts w:hAnsi="黑体" w:eastAsia="宋体" w:cs="Times New Roman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hAnsi="黑体" w:eastAsia="宋体" w:cs="Times New Roman"/>
                      <w:color w:val="000000"/>
                      <w:sz w:val="21"/>
                      <w:szCs w:val="21"/>
                      <w:lang w:eastAsia="zh-CN"/>
                    </w:rPr>
                    <w:t>违反任何</w:t>
                  </w:r>
                </w:p>
                <w:p>
                  <w:pPr>
                    <w:pStyle w:val="2"/>
                    <w:snapToGrid w:val="0"/>
                    <w:spacing w:before="0" w:beforeAutospacing="0" w:after="0" w:afterAutospacing="0"/>
                    <w:rPr>
                      <w:rFonts w:hAnsi="黑体" w:eastAsia="宋体" w:cs="Times New Roman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hAnsi="黑体" w:eastAsia="宋体" w:cs="Times New Roman"/>
                      <w:color w:val="000000"/>
                      <w:sz w:val="21"/>
                      <w:szCs w:val="21"/>
                      <w:lang w:eastAsia="zh-CN"/>
                    </w:rPr>
                    <w:t>一项标准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038" o:spid="_x0000_s1038" o:spt="32" type="#_x0000_t32" style="position:absolute;left:0pt;margin-left:120pt;margin-top:11.4pt;height:43.5pt;width:0.05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roundrect id="_x0000_s1043" o:spid="_x0000_s1043" o:spt="2" style="position:absolute;left:0pt;margin-left:15pt;margin-top:23.7pt;height:39.75pt;width:210.75pt;z-index:251677696;v-text-anchor:middle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详细说明违反哪一项标准</w:t>
                  </w:r>
                </w:p>
                <w:p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对市场竞争产生什么影响</w:t>
                  </w:r>
                </w:p>
              </w:txbxContent>
            </v:textbox>
          </v:roundrect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shape id="_x0000_s1045" o:spid="_x0000_s1045" o:spt="4" type="#_x0000_t4" style="position:absolute;left:0pt;margin-left:5.4pt;margin-top:22.05pt;height:74.25pt;width:229.5pt;z-index:251679744;v-text-anchor:middle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是否符合例外规定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044" o:spid="_x0000_s1044" o:spt="32" type="#_x0000_t32" style="position:absolute;left:0pt;margin-left:119.95pt;margin-top:1.05pt;height:21.75pt;width:0.05pt;z-index:2516787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tabs>
          <w:tab w:val="left" w:pos="5220"/>
          <w:tab w:val="left" w:pos="6270"/>
        </w:tabs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shape id="_x0000_s1047" o:spid="_x0000_s1047" o:spt="202" type="#_x0000_t202" style="position:absolute;left:0pt;margin-left:242.5pt;margin-top:4.65pt;height:24.45pt;width:31.9pt;z-index:251681792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color w:val="000000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</w:rPr>
                    <w:t>否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roundrect id="_x0000_s1048" o:spid="_x0000_s1048" o:spt="2" style="position:absolute;left:0pt;margin-left:281.25pt;margin-top:8.85pt;height:39pt;width:152.25pt;z-index:251682816;v-text-anchor:middle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不得出台或者调整至符合要求后再出台</w:t>
                  </w:r>
                </w:p>
              </w:txbxContent>
            </v:textbox>
          </v:roundrect>
        </w:pict>
      </w:r>
      <w:r>
        <w:rPr>
          <w:lang w:val="en-US" w:eastAsia="zh-CN"/>
        </w:rPr>
        <w:pict>
          <v:shape id="_x0000_s1046" o:spid="_x0000_s1046" o:spt="32" type="#_x0000_t32" style="position:absolute;left:0pt;margin-left:235.5pt;margin-top:27.6pt;height:0pt;width:46.4pt;z-index:2516807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ab/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roundrect id="_x0000_s1051" o:spid="_x0000_s1051" o:spt="2" style="position:absolute;left:0pt;margin-left:14.25pt;margin-top:24.45pt;height:42.75pt;width:211.5pt;z-index:2516858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</w:pPr>
                  <w:r>
                    <w:rPr>
                      <w:rFonts w:hint="eastAsia"/>
                    </w:rPr>
                    <w:t>可以出台，但充分说明符合例外规定的条件，并明确实施期限</w:t>
                  </w:r>
                </w:p>
              </w:txbxContent>
            </v:textbox>
          </v:roundrect>
        </w:pict>
      </w:r>
      <w:r>
        <w:rPr>
          <w:lang w:val="en-US" w:eastAsia="zh-CN"/>
        </w:rPr>
        <w:pict>
          <v:shape id="_x0000_s1050" o:spid="_x0000_s1050" o:spt="202" type="#_x0000_t202" style="position:absolute;left:0pt;margin-left:88pt;margin-top:2.7pt;height:24.4pt;width:31.9pt;z-index:251684864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 w:ascii="黑体" w:hAnsi="黑体" w:eastAsia="黑体" w:cs="Times New Roman"/>
                      <w:color w:val="000000"/>
                      <w:kern w:val="2"/>
                      <w:sz w:val="21"/>
                      <w:szCs w:val="21"/>
                      <w:lang w:eastAsia="zh-CN"/>
                    </w:rPr>
                    <w:t>是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049" o:spid="_x0000_s1049" o:spt="32" type="#_x0000_t32" style="position:absolute;left:0pt;margin-left:119.9pt;margin-top:2.7pt;height:21.75pt;width:0.05pt;z-index:2516838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DC1"/>
    <w:rsid w:val="000454D0"/>
    <w:rsid w:val="00421DC1"/>
    <w:rsid w:val="00566424"/>
    <w:rsid w:val="4192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8"/>
        <o:r id="V:Rule4" type="connector" idref="#_x0000_s1039"/>
        <o:r id="V:Rule5" type="connector" idref="#_x0000_s1044"/>
        <o:r id="V:Rule6" type="connector" idref="#_x0000_s1046"/>
        <o:r id="V:Rule7" type="connector" idref="#_x0000_s104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31"/>
    <customShpInfo spid="_x0000_s1028"/>
    <customShpInfo spid="_x0000_s1032"/>
    <customShpInfo spid="_x0000_s1029"/>
    <customShpInfo spid="_x0000_s1026"/>
    <customShpInfo spid="_x0000_s1033"/>
    <customShpInfo spid="_x0000_s1041"/>
    <customShpInfo spid="_x0000_s1040"/>
    <customShpInfo spid="_x0000_s1034"/>
    <customShpInfo spid="_x0000_s1039"/>
    <customShpInfo spid="_x0000_s1035"/>
    <customShpInfo spid="_x0000_s1036"/>
    <customShpInfo spid="_x0000_s1037"/>
    <customShpInfo spid="_x0000_s1042"/>
    <customShpInfo spid="_x0000_s1038"/>
    <customShpInfo spid="_x0000_s1043"/>
    <customShpInfo spid="_x0000_s1045"/>
    <customShpInfo spid="_x0000_s1044"/>
    <customShpInfo spid="_x0000_s1047"/>
    <customShpInfo spid="_x0000_s1048"/>
    <customShpInfo spid="_x0000_s1046"/>
    <customShpInfo spid="_x0000_s1051"/>
    <customShpInfo spid="_x0000_s1050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</Words>
  <Characters>54</Characters>
  <Lines>1</Lines>
  <Paragraphs>1</Paragraphs>
  <TotalTime>0</TotalTime>
  <ScaleCrop>false</ScaleCrop>
  <LinksUpToDate>false</LinksUpToDate>
  <CharactersWithSpaces>62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2019-10-22T07:15:00Z</dcterms:created>
  <dc:creator>Administrator</dc:creator>
  <cp:lastModifiedBy>娇娇</cp:lastModifiedBy>
  <dcterms:modified xsi:type="dcterms:W3CDTF">2019-10-30T10:18:49Z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